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Style0"/>
        <w:tblW w:w="9840" w:type="dxa"/>
        <w:tblInd w:w="5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5"/>
        <w:gridCol w:w="390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254"/>
        <w:gridCol w:w="239"/>
        <w:gridCol w:w="239"/>
        <w:gridCol w:w="25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314"/>
        <w:gridCol w:w="165"/>
      </w:tblGrid>
      <w:tr w:rsidR="00096DC9">
        <w:trPr>
          <w:cantSplit/>
        </w:trPr>
        <w:tc>
          <w:tcPr>
            <w:tcW w:w="135" w:type="dxa"/>
            <w:shd w:val="clear" w:color="auto" w:fill="auto"/>
            <w:vAlign w:val="bottom"/>
          </w:tcPr>
          <w:p w:rsidR="00096DC9" w:rsidRDefault="00096DC9"/>
        </w:tc>
        <w:tc>
          <w:tcPr>
            <w:tcW w:w="390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165" w:type="dxa"/>
            <w:shd w:val="clear" w:color="auto" w:fill="auto"/>
            <w:vAlign w:val="bottom"/>
          </w:tcPr>
          <w:p w:rsidR="00096DC9" w:rsidRDefault="00096DC9"/>
        </w:tc>
      </w:tr>
      <w:tr w:rsidR="00096DC9">
        <w:trPr>
          <w:cantSplit/>
        </w:trPr>
        <w:tc>
          <w:tcPr>
            <w:tcW w:w="135" w:type="dxa"/>
            <w:shd w:val="clear" w:color="auto" w:fill="auto"/>
            <w:vAlign w:val="bottom"/>
          </w:tcPr>
          <w:p w:rsidR="00096DC9" w:rsidRDefault="00096DC9">
            <w:pPr>
              <w:jc w:val="right"/>
            </w:pPr>
          </w:p>
        </w:tc>
        <w:tc>
          <w:tcPr>
            <w:tcW w:w="7028" w:type="dxa"/>
            <w:gridSpan w:val="23"/>
            <w:shd w:val="clear" w:color="auto" w:fill="auto"/>
            <w:vAlign w:val="bottom"/>
          </w:tcPr>
          <w:p w:rsidR="00096DC9" w:rsidRDefault="00C148DB">
            <w:pPr>
              <w:rPr>
                <w:lang w:val="en-US"/>
              </w:rPr>
            </w:pPr>
            <w:r>
              <w:rPr>
                <w:b/>
                <w:szCs w:val="16"/>
              </w:rPr>
              <w:t>ДОГОВОР НА ОКАЗАНИЕ УСЛУГ № 10701728/</w:t>
            </w:r>
            <w:r>
              <w:rPr>
                <w:b/>
                <w:szCs w:val="16"/>
                <w:lang w:val="en-US"/>
              </w:rPr>
              <w:t>3</w:t>
            </w:r>
          </w:p>
        </w:tc>
        <w:tc>
          <w:tcPr>
            <w:tcW w:w="2512" w:type="dxa"/>
            <w:gridSpan w:val="8"/>
            <w:shd w:val="clear" w:color="auto" w:fill="auto"/>
            <w:vAlign w:val="bottom"/>
          </w:tcPr>
          <w:p w:rsidR="00096DC9" w:rsidRDefault="00C148DB">
            <w:r>
              <w:rPr>
                <w:b/>
                <w:szCs w:val="16"/>
              </w:rPr>
              <w:t xml:space="preserve">г. Москва, </w:t>
            </w:r>
            <w:r>
              <w:rPr>
                <w:b/>
                <w:szCs w:val="16"/>
                <w:lang w:val="en-US"/>
              </w:rPr>
              <w:t>01</w:t>
            </w:r>
            <w:r>
              <w:rPr>
                <w:b/>
                <w:szCs w:val="16"/>
              </w:rPr>
              <w:t xml:space="preserve"> апреля 2026г.</w:t>
            </w:r>
          </w:p>
        </w:tc>
        <w:tc>
          <w:tcPr>
            <w:tcW w:w="165" w:type="dxa"/>
            <w:shd w:val="clear" w:color="auto" w:fill="auto"/>
            <w:vAlign w:val="bottom"/>
          </w:tcPr>
          <w:p w:rsidR="00096DC9" w:rsidRDefault="00096DC9">
            <w:pPr>
              <w:jc w:val="right"/>
            </w:pPr>
          </w:p>
        </w:tc>
      </w:tr>
      <w:tr w:rsidR="00096DC9">
        <w:trPr>
          <w:cantSplit/>
        </w:trPr>
        <w:tc>
          <w:tcPr>
            <w:tcW w:w="135" w:type="dxa"/>
            <w:shd w:val="clear" w:color="auto" w:fill="auto"/>
            <w:vAlign w:val="bottom"/>
          </w:tcPr>
          <w:p w:rsidR="00096DC9" w:rsidRDefault="00096DC9"/>
        </w:tc>
        <w:tc>
          <w:tcPr>
            <w:tcW w:w="9540" w:type="dxa"/>
            <w:gridSpan w:val="31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096DC9" w:rsidRDefault="00C148DB">
            <w:r>
              <w:rPr>
                <w:b/>
                <w:szCs w:val="16"/>
              </w:rPr>
              <w:t>Исполнитель: Общество с ограниченной ответственностью "Хэдхантер"</w:t>
            </w:r>
          </w:p>
        </w:tc>
        <w:tc>
          <w:tcPr>
            <w:tcW w:w="165" w:type="dxa"/>
            <w:shd w:val="clear" w:color="auto" w:fill="auto"/>
            <w:vAlign w:val="bottom"/>
          </w:tcPr>
          <w:p w:rsidR="00096DC9" w:rsidRDefault="00096DC9"/>
        </w:tc>
      </w:tr>
      <w:tr w:rsidR="00096DC9">
        <w:trPr>
          <w:cantSplit/>
        </w:trPr>
        <w:tc>
          <w:tcPr>
            <w:tcW w:w="135" w:type="dxa"/>
            <w:shd w:val="clear" w:color="auto" w:fill="auto"/>
            <w:vAlign w:val="bottom"/>
          </w:tcPr>
          <w:p w:rsidR="00096DC9" w:rsidRDefault="00096DC9"/>
        </w:tc>
        <w:tc>
          <w:tcPr>
            <w:tcW w:w="390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1884" w:type="dxa"/>
            <w:gridSpan w:val="6"/>
            <w:shd w:val="clear" w:color="auto" w:fill="auto"/>
            <w:vAlign w:val="bottom"/>
          </w:tcPr>
          <w:p w:rsidR="00096DC9" w:rsidRDefault="00C148DB">
            <w:r>
              <w:rPr>
                <w:szCs w:val="16"/>
              </w:rPr>
              <w:t>ИНН:</w:t>
            </w:r>
          </w:p>
        </w:tc>
        <w:tc>
          <w:tcPr>
            <w:tcW w:w="6638" w:type="dxa"/>
            <w:gridSpan w:val="22"/>
            <w:shd w:val="clear" w:color="auto" w:fill="auto"/>
            <w:vAlign w:val="bottom"/>
          </w:tcPr>
          <w:p w:rsidR="00096DC9" w:rsidRDefault="00096DC9"/>
        </w:tc>
        <w:tc>
          <w:tcPr>
            <w:tcW w:w="165" w:type="dxa"/>
            <w:shd w:val="clear" w:color="auto" w:fill="auto"/>
            <w:vAlign w:val="bottom"/>
          </w:tcPr>
          <w:p w:rsidR="00096DC9" w:rsidRDefault="00096DC9"/>
        </w:tc>
      </w:tr>
      <w:tr w:rsidR="00096DC9">
        <w:trPr>
          <w:cantSplit/>
        </w:trPr>
        <w:tc>
          <w:tcPr>
            <w:tcW w:w="135" w:type="dxa"/>
            <w:shd w:val="clear" w:color="auto" w:fill="auto"/>
            <w:vAlign w:val="bottom"/>
          </w:tcPr>
          <w:p w:rsidR="00096DC9" w:rsidRDefault="00096DC9"/>
        </w:tc>
        <w:tc>
          <w:tcPr>
            <w:tcW w:w="390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1884" w:type="dxa"/>
            <w:gridSpan w:val="6"/>
            <w:shd w:val="clear" w:color="auto" w:fill="auto"/>
            <w:vAlign w:val="bottom"/>
          </w:tcPr>
          <w:p w:rsidR="00096DC9" w:rsidRDefault="00C148DB">
            <w:r>
              <w:rPr>
                <w:szCs w:val="16"/>
              </w:rPr>
              <w:t>КПП:</w:t>
            </w:r>
          </w:p>
        </w:tc>
        <w:tc>
          <w:tcPr>
            <w:tcW w:w="6638" w:type="dxa"/>
            <w:gridSpan w:val="22"/>
            <w:shd w:val="clear" w:color="auto" w:fill="auto"/>
            <w:vAlign w:val="bottom"/>
          </w:tcPr>
          <w:p w:rsidR="00096DC9" w:rsidRDefault="00096DC9"/>
        </w:tc>
        <w:tc>
          <w:tcPr>
            <w:tcW w:w="165" w:type="dxa"/>
            <w:shd w:val="clear" w:color="auto" w:fill="auto"/>
            <w:vAlign w:val="bottom"/>
          </w:tcPr>
          <w:p w:rsidR="00096DC9" w:rsidRDefault="00096DC9"/>
        </w:tc>
      </w:tr>
      <w:tr w:rsidR="00096DC9">
        <w:trPr>
          <w:cantSplit/>
        </w:trPr>
        <w:tc>
          <w:tcPr>
            <w:tcW w:w="135" w:type="dxa"/>
            <w:shd w:val="clear" w:color="auto" w:fill="auto"/>
            <w:vAlign w:val="bottom"/>
          </w:tcPr>
          <w:p w:rsidR="00096DC9" w:rsidRDefault="00096DC9"/>
        </w:tc>
        <w:tc>
          <w:tcPr>
            <w:tcW w:w="390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1884" w:type="dxa"/>
            <w:gridSpan w:val="6"/>
            <w:shd w:val="clear" w:color="auto" w:fill="auto"/>
            <w:vAlign w:val="bottom"/>
          </w:tcPr>
          <w:p w:rsidR="00096DC9" w:rsidRDefault="00C148DB">
            <w:r>
              <w:rPr>
                <w:szCs w:val="16"/>
              </w:rPr>
              <w:t>Местонахождение:</w:t>
            </w:r>
          </w:p>
        </w:tc>
        <w:tc>
          <w:tcPr>
            <w:tcW w:w="6638" w:type="dxa"/>
            <w:gridSpan w:val="22"/>
            <w:shd w:val="clear" w:color="auto" w:fill="auto"/>
            <w:vAlign w:val="bottom"/>
          </w:tcPr>
          <w:p w:rsidR="00096DC9" w:rsidRDefault="00096DC9"/>
        </w:tc>
        <w:tc>
          <w:tcPr>
            <w:tcW w:w="165" w:type="dxa"/>
            <w:shd w:val="clear" w:color="auto" w:fill="auto"/>
            <w:vAlign w:val="bottom"/>
          </w:tcPr>
          <w:p w:rsidR="00096DC9" w:rsidRDefault="00096DC9"/>
        </w:tc>
      </w:tr>
      <w:tr w:rsidR="00096DC9">
        <w:trPr>
          <w:cantSplit/>
        </w:trPr>
        <w:tc>
          <w:tcPr>
            <w:tcW w:w="135" w:type="dxa"/>
            <w:shd w:val="clear" w:color="auto" w:fill="auto"/>
            <w:vAlign w:val="bottom"/>
          </w:tcPr>
          <w:p w:rsidR="00096DC9" w:rsidRDefault="00096DC9"/>
        </w:tc>
        <w:tc>
          <w:tcPr>
            <w:tcW w:w="390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1884" w:type="dxa"/>
            <w:gridSpan w:val="6"/>
            <w:shd w:val="clear" w:color="auto" w:fill="auto"/>
            <w:vAlign w:val="bottom"/>
          </w:tcPr>
          <w:p w:rsidR="00096DC9" w:rsidRDefault="00C148DB">
            <w:r>
              <w:rPr>
                <w:szCs w:val="16"/>
              </w:rPr>
              <w:t>Банковские реквизиты:</w:t>
            </w:r>
          </w:p>
        </w:tc>
        <w:tc>
          <w:tcPr>
            <w:tcW w:w="6638" w:type="dxa"/>
            <w:gridSpan w:val="22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096DC9" w:rsidRDefault="00096DC9"/>
        </w:tc>
        <w:tc>
          <w:tcPr>
            <w:tcW w:w="165" w:type="dxa"/>
            <w:shd w:val="clear" w:color="auto" w:fill="auto"/>
            <w:vAlign w:val="bottom"/>
          </w:tcPr>
          <w:p w:rsidR="00096DC9" w:rsidRDefault="00096DC9"/>
        </w:tc>
      </w:tr>
      <w:tr w:rsidR="00096DC9">
        <w:trPr>
          <w:cantSplit/>
        </w:trPr>
        <w:tc>
          <w:tcPr>
            <w:tcW w:w="135" w:type="dxa"/>
            <w:shd w:val="clear" w:color="auto" w:fill="auto"/>
            <w:vAlign w:val="bottom"/>
          </w:tcPr>
          <w:p w:rsidR="00096DC9" w:rsidRDefault="00096DC9"/>
        </w:tc>
        <w:tc>
          <w:tcPr>
            <w:tcW w:w="390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1884" w:type="dxa"/>
            <w:gridSpan w:val="6"/>
            <w:shd w:val="clear" w:color="auto" w:fill="auto"/>
            <w:vAlign w:val="bottom"/>
          </w:tcPr>
          <w:p w:rsidR="00096DC9" w:rsidRDefault="00096DC9"/>
        </w:tc>
        <w:tc>
          <w:tcPr>
            <w:tcW w:w="6638" w:type="dxa"/>
            <w:gridSpan w:val="22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096DC9" w:rsidRDefault="00096DC9"/>
        </w:tc>
        <w:tc>
          <w:tcPr>
            <w:tcW w:w="165" w:type="dxa"/>
            <w:shd w:val="clear" w:color="auto" w:fill="auto"/>
            <w:vAlign w:val="bottom"/>
          </w:tcPr>
          <w:p w:rsidR="00096DC9" w:rsidRDefault="00096DC9"/>
        </w:tc>
      </w:tr>
      <w:tr w:rsidR="00096DC9">
        <w:trPr>
          <w:cantSplit/>
        </w:trPr>
        <w:tc>
          <w:tcPr>
            <w:tcW w:w="135" w:type="dxa"/>
            <w:shd w:val="clear" w:color="auto" w:fill="auto"/>
            <w:vAlign w:val="bottom"/>
          </w:tcPr>
          <w:p w:rsidR="00096DC9" w:rsidRDefault="00096DC9"/>
        </w:tc>
        <w:tc>
          <w:tcPr>
            <w:tcW w:w="390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8522" w:type="dxa"/>
            <w:gridSpan w:val="28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096DC9" w:rsidRDefault="00C148DB">
            <w:r>
              <w:rPr>
                <w:szCs w:val="16"/>
              </w:rPr>
              <w:t>От имени Исполнителя настоящий Договор подписывает:</w:t>
            </w:r>
          </w:p>
        </w:tc>
        <w:tc>
          <w:tcPr>
            <w:tcW w:w="165" w:type="dxa"/>
            <w:shd w:val="clear" w:color="auto" w:fill="auto"/>
            <w:vAlign w:val="bottom"/>
          </w:tcPr>
          <w:p w:rsidR="00096DC9" w:rsidRDefault="00096DC9"/>
        </w:tc>
      </w:tr>
      <w:tr w:rsidR="00096DC9">
        <w:trPr>
          <w:cantSplit/>
        </w:trPr>
        <w:tc>
          <w:tcPr>
            <w:tcW w:w="135" w:type="dxa"/>
            <w:shd w:val="clear" w:color="auto" w:fill="auto"/>
            <w:vAlign w:val="bottom"/>
          </w:tcPr>
          <w:p w:rsidR="00096DC9" w:rsidRDefault="00096DC9"/>
        </w:tc>
        <w:tc>
          <w:tcPr>
            <w:tcW w:w="390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1884" w:type="dxa"/>
            <w:gridSpan w:val="6"/>
            <w:shd w:val="clear" w:color="auto" w:fill="auto"/>
            <w:vAlign w:val="bottom"/>
          </w:tcPr>
          <w:p w:rsidR="00096DC9" w:rsidRDefault="00C148DB">
            <w:r>
              <w:rPr>
                <w:szCs w:val="16"/>
              </w:rPr>
              <w:t>ФИО:</w:t>
            </w:r>
          </w:p>
        </w:tc>
        <w:tc>
          <w:tcPr>
            <w:tcW w:w="6638" w:type="dxa"/>
            <w:gridSpan w:val="22"/>
            <w:shd w:val="clear" w:color="auto" w:fill="auto"/>
            <w:vAlign w:val="bottom"/>
          </w:tcPr>
          <w:p w:rsidR="00096DC9" w:rsidRDefault="00096DC9"/>
        </w:tc>
        <w:tc>
          <w:tcPr>
            <w:tcW w:w="165" w:type="dxa"/>
            <w:shd w:val="clear" w:color="auto" w:fill="auto"/>
            <w:vAlign w:val="bottom"/>
          </w:tcPr>
          <w:p w:rsidR="00096DC9" w:rsidRDefault="00096DC9"/>
        </w:tc>
      </w:tr>
      <w:tr w:rsidR="00096DC9">
        <w:trPr>
          <w:cantSplit/>
        </w:trPr>
        <w:tc>
          <w:tcPr>
            <w:tcW w:w="135" w:type="dxa"/>
            <w:shd w:val="clear" w:color="auto" w:fill="auto"/>
            <w:vAlign w:val="bottom"/>
          </w:tcPr>
          <w:p w:rsidR="00096DC9" w:rsidRDefault="00096DC9"/>
        </w:tc>
        <w:tc>
          <w:tcPr>
            <w:tcW w:w="390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1884" w:type="dxa"/>
            <w:gridSpan w:val="6"/>
            <w:shd w:val="clear" w:color="auto" w:fill="auto"/>
            <w:vAlign w:val="bottom"/>
          </w:tcPr>
          <w:p w:rsidR="00096DC9" w:rsidRDefault="00C148DB">
            <w:r>
              <w:rPr>
                <w:szCs w:val="16"/>
              </w:rPr>
              <w:t>Должность:</w:t>
            </w:r>
          </w:p>
        </w:tc>
        <w:tc>
          <w:tcPr>
            <w:tcW w:w="6638" w:type="dxa"/>
            <w:gridSpan w:val="22"/>
            <w:shd w:val="clear" w:color="auto" w:fill="auto"/>
            <w:vAlign w:val="bottom"/>
          </w:tcPr>
          <w:p w:rsidR="00096DC9" w:rsidRDefault="00096DC9"/>
        </w:tc>
        <w:tc>
          <w:tcPr>
            <w:tcW w:w="165" w:type="dxa"/>
            <w:shd w:val="clear" w:color="auto" w:fill="auto"/>
            <w:vAlign w:val="bottom"/>
          </w:tcPr>
          <w:p w:rsidR="00096DC9" w:rsidRDefault="00096DC9"/>
        </w:tc>
      </w:tr>
      <w:tr w:rsidR="00096DC9">
        <w:trPr>
          <w:cantSplit/>
        </w:trPr>
        <w:tc>
          <w:tcPr>
            <w:tcW w:w="135" w:type="dxa"/>
            <w:shd w:val="clear" w:color="auto" w:fill="auto"/>
            <w:vAlign w:val="bottom"/>
          </w:tcPr>
          <w:p w:rsidR="00096DC9" w:rsidRDefault="00096DC9"/>
        </w:tc>
        <w:tc>
          <w:tcPr>
            <w:tcW w:w="390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1884" w:type="dxa"/>
            <w:gridSpan w:val="6"/>
            <w:shd w:val="clear" w:color="auto" w:fill="auto"/>
            <w:vAlign w:val="bottom"/>
          </w:tcPr>
          <w:p w:rsidR="00096DC9" w:rsidRDefault="00C148DB">
            <w:r>
              <w:rPr>
                <w:szCs w:val="16"/>
              </w:rPr>
              <w:t>На основании:</w:t>
            </w:r>
          </w:p>
        </w:tc>
        <w:tc>
          <w:tcPr>
            <w:tcW w:w="6638" w:type="dxa"/>
            <w:gridSpan w:val="22"/>
            <w:shd w:val="clear" w:color="auto" w:fill="auto"/>
            <w:vAlign w:val="bottom"/>
          </w:tcPr>
          <w:p w:rsidR="00096DC9" w:rsidRDefault="00096DC9"/>
        </w:tc>
        <w:tc>
          <w:tcPr>
            <w:tcW w:w="165" w:type="dxa"/>
            <w:shd w:val="clear" w:color="auto" w:fill="auto"/>
            <w:vAlign w:val="bottom"/>
          </w:tcPr>
          <w:p w:rsidR="00096DC9" w:rsidRDefault="00096DC9"/>
        </w:tc>
      </w:tr>
      <w:tr w:rsidR="00096DC9">
        <w:trPr>
          <w:cantSplit/>
        </w:trPr>
        <w:tc>
          <w:tcPr>
            <w:tcW w:w="135" w:type="dxa"/>
            <w:shd w:val="clear" w:color="auto" w:fill="auto"/>
            <w:vAlign w:val="bottom"/>
          </w:tcPr>
          <w:p w:rsidR="00096DC9" w:rsidRDefault="00096DC9"/>
        </w:tc>
        <w:tc>
          <w:tcPr>
            <w:tcW w:w="390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165" w:type="dxa"/>
            <w:shd w:val="clear" w:color="auto" w:fill="auto"/>
            <w:vAlign w:val="bottom"/>
          </w:tcPr>
          <w:p w:rsidR="00096DC9" w:rsidRDefault="00096DC9"/>
        </w:tc>
      </w:tr>
      <w:tr w:rsidR="00096DC9">
        <w:trPr>
          <w:cantSplit/>
        </w:trPr>
        <w:tc>
          <w:tcPr>
            <w:tcW w:w="135" w:type="dxa"/>
            <w:shd w:val="clear" w:color="auto" w:fill="auto"/>
            <w:vAlign w:val="bottom"/>
          </w:tcPr>
          <w:p w:rsidR="00096DC9" w:rsidRDefault="00096DC9"/>
        </w:tc>
        <w:tc>
          <w:tcPr>
            <w:tcW w:w="9540" w:type="dxa"/>
            <w:gridSpan w:val="31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096DC9" w:rsidRDefault="00C148DB">
            <w:r>
              <w:rPr>
                <w:b/>
                <w:szCs w:val="16"/>
              </w:rPr>
              <w:t>Заказчик: АКЦИОНЕРНОЕ ОБЩЕСТВО "РОССЕТИ СИБИРЬ ТЫВАЭНЕРГО"</w:t>
            </w:r>
          </w:p>
        </w:tc>
        <w:tc>
          <w:tcPr>
            <w:tcW w:w="165" w:type="dxa"/>
            <w:shd w:val="clear" w:color="auto" w:fill="auto"/>
            <w:vAlign w:val="bottom"/>
          </w:tcPr>
          <w:p w:rsidR="00096DC9" w:rsidRDefault="00096DC9"/>
        </w:tc>
      </w:tr>
      <w:tr w:rsidR="00096DC9">
        <w:trPr>
          <w:cantSplit/>
        </w:trPr>
        <w:tc>
          <w:tcPr>
            <w:tcW w:w="135" w:type="dxa"/>
            <w:shd w:val="clear" w:color="auto" w:fill="auto"/>
            <w:vAlign w:val="bottom"/>
          </w:tcPr>
          <w:p w:rsidR="00096DC9" w:rsidRDefault="00096DC9"/>
        </w:tc>
        <w:tc>
          <w:tcPr>
            <w:tcW w:w="390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1884" w:type="dxa"/>
            <w:gridSpan w:val="6"/>
            <w:shd w:val="clear" w:color="auto" w:fill="auto"/>
            <w:vAlign w:val="bottom"/>
          </w:tcPr>
          <w:p w:rsidR="00096DC9" w:rsidRDefault="00C148DB">
            <w:r>
              <w:rPr>
                <w:szCs w:val="16"/>
              </w:rPr>
              <w:t>ИНН:</w:t>
            </w:r>
          </w:p>
        </w:tc>
        <w:tc>
          <w:tcPr>
            <w:tcW w:w="6638" w:type="dxa"/>
            <w:gridSpan w:val="22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096DC9" w:rsidRDefault="00C148DB">
            <w:r>
              <w:rPr>
                <w:szCs w:val="16"/>
              </w:rPr>
              <w:t>1701029232</w:t>
            </w:r>
          </w:p>
        </w:tc>
        <w:tc>
          <w:tcPr>
            <w:tcW w:w="165" w:type="dxa"/>
            <w:shd w:val="clear" w:color="auto" w:fill="auto"/>
            <w:vAlign w:val="bottom"/>
          </w:tcPr>
          <w:p w:rsidR="00096DC9" w:rsidRDefault="00096DC9"/>
        </w:tc>
      </w:tr>
      <w:tr w:rsidR="00096DC9">
        <w:trPr>
          <w:cantSplit/>
        </w:trPr>
        <w:tc>
          <w:tcPr>
            <w:tcW w:w="135" w:type="dxa"/>
            <w:shd w:val="clear" w:color="auto" w:fill="auto"/>
            <w:vAlign w:val="bottom"/>
          </w:tcPr>
          <w:p w:rsidR="00096DC9" w:rsidRDefault="00096DC9"/>
        </w:tc>
        <w:tc>
          <w:tcPr>
            <w:tcW w:w="390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1884" w:type="dxa"/>
            <w:gridSpan w:val="6"/>
            <w:shd w:val="clear" w:color="auto" w:fill="auto"/>
            <w:vAlign w:val="bottom"/>
          </w:tcPr>
          <w:p w:rsidR="00096DC9" w:rsidRDefault="00C148DB">
            <w:r>
              <w:rPr>
                <w:szCs w:val="16"/>
              </w:rPr>
              <w:t>КПП:</w:t>
            </w:r>
          </w:p>
        </w:tc>
        <w:tc>
          <w:tcPr>
            <w:tcW w:w="6638" w:type="dxa"/>
            <w:gridSpan w:val="22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096DC9" w:rsidRDefault="00C148DB">
            <w:r>
              <w:rPr>
                <w:szCs w:val="16"/>
              </w:rPr>
              <w:t>170101001</w:t>
            </w:r>
          </w:p>
        </w:tc>
        <w:tc>
          <w:tcPr>
            <w:tcW w:w="165" w:type="dxa"/>
            <w:shd w:val="clear" w:color="auto" w:fill="auto"/>
            <w:vAlign w:val="bottom"/>
          </w:tcPr>
          <w:p w:rsidR="00096DC9" w:rsidRDefault="00096DC9"/>
        </w:tc>
      </w:tr>
      <w:tr w:rsidR="00096DC9">
        <w:trPr>
          <w:cantSplit/>
        </w:trPr>
        <w:tc>
          <w:tcPr>
            <w:tcW w:w="135" w:type="dxa"/>
            <w:shd w:val="clear" w:color="auto" w:fill="auto"/>
            <w:vAlign w:val="bottom"/>
          </w:tcPr>
          <w:p w:rsidR="00096DC9" w:rsidRDefault="00096DC9"/>
        </w:tc>
        <w:tc>
          <w:tcPr>
            <w:tcW w:w="390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1884" w:type="dxa"/>
            <w:gridSpan w:val="6"/>
            <w:shd w:val="clear" w:color="auto" w:fill="auto"/>
            <w:vAlign w:val="bottom"/>
          </w:tcPr>
          <w:p w:rsidR="00096DC9" w:rsidRDefault="00C148DB">
            <w:r>
              <w:rPr>
                <w:szCs w:val="16"/>
              </w:rPr>
              <w:t>Местонахождение:</w:t>
            </w:r>
          </w:p>
        </w:tc>
        <w:tc>
          <w:tcPr>
            <w:tcW w:w="6638" w:type="dxa"/>
            <w:gridSpan w:val="22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096DC9" w:rsidRDefault="00C148DB">
            <w:r>
              <w:rPr>
                <w:szCs w:val="16"/>
              </w:rPr>
              <w:t>667001 Тыва респ., г. Кызыл, ул. Рабочая, д. 4</w:t>
            </w:r>
          </w:p>
        </w:tc>
        <w:tc>
          <w:tcPr>
            <w:tcW w:w="165" w:type="dxa"/>
            <w:shd w:val="clear" w:color="auto" w:fill="auto"/>
            <w:vAlign w:val="bottom"/>
          </w:tcPr>
          <w:p w:rsidR="00096DC9" w:rsidRDefault="00096DC9"/>
        </w:tc>
      </w:tr>
      <w:tr w:rsidR="00096DC9">
        <w:trPr>
          <w:cantSplit/>
        </w:trPr>
        <w:tc>
          <w:tcPr>
            <w:tcW w:w="135" w:type="dxa"/>
            <w:shd w:val="clear" w:color="auto" w:fill="auto"/>
            <w:vAlign w:val="bottom"/>
          </w:tcPr>
          <w:p w:rsidR="00096DC9" w:rsidRDefault="00096DC9"/>
        </w:tc>
        <w:tc>
          <w:tcPr>
            <w:tcW w:w="390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1884" w:type="dxa"/>
            <w:gridSpan w:val="6"/>
            <w:shd w:val="clear" w:color="auto" w:fill="auto"/>
            <w:vAlign w:val="bottom"/>
          </w:tcPr>
          <w:p w:rsidR="00096DC9" w:rsidRDefault="00C148DB">
            <w:r>
              <w:rPr>
                <w:szCs w:val="16"/>
              </w:rPr>
              <w:t>Банковские реквизиты:</w:t>
            </w:r>
          </w:p>
        </w:tc>
        <w:tc>
          <w:tcPr>
            <w:tcW w:w="6638" w:type="dxa"/>
            <w:gridSpan w:val="22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096DC9" w:rsidRDefault="00C148DB">
            <w:pPr>
              <w:pStyle w:val="a4"/>
              <w:rPr>
                <w:sz w:val="22"/>
                <w:szCs w:val="22"/>
                <w:lang w:eastAsia="ar-SA"/>
              </w:rPr>
            </w:pPr>
            <w:r>
              <w:rPr>
                <w:szCs w:val="16"/>
              </w:rPr>
              <w:t xml:space="preserve">р/с  </w:t>
            </w:r>
            <w:r>
              <w:rPr>
                <w:lang w:eastAsia="ar-SA"/>
              </w:rPr>
              <w:t xml:space="preserve">40702810865000001852 </w:t>
            </w:r>
            <w:r>
              <w:rPr>
                <w:lang w:eastAsia="ar-SA"/>
              </w:rPr>
              <w:t xml:space="preserve">в КРАСНОЯРСКОЕ ОТДЕЛЕНИЕ №8646 </w:t>
            </w:r>
          </w:p>
          <w:p w:rsidR="00096DC9" w:rsidRDefault="00C148DB">
            <w:pPr>
              <w:pStyle w:val="a4"/>
              <w:rPr>
                <w:sz w:val="22"/>
                <w:szCs w:val="22"/>
                <w:lang w:eastAsia="ar-SA"/>
              </w:rPr>
            </w:pPr>
            <w:r>
              <w:rPr>
                <w:lang w:eastAsia="ar-SA"/>
              </w:rPr>
              <w:t>ПАО СБЕРБАНК г. КРАСНОЯРСК</w:t>
            </w:r>
          </w:p>
        </w:tc>
        <w:tc>
          <w:tcPr>
            <w:tcW w:w="165" w:type="dxa"/>
            <w:shd w:val="clear" w:color="auto" w:fill="auto"/>
            <w:vAlign w:val="bottom"/>
          </w:tcPr>
          <w:p w:rsidR="00096DC9" w:rsidRDefault="00096DC9"/>
        </w:tc>
      </w:tr>
      <w:tr w:rsidR="00096DC9">
        <w:trPr>
          <w:cantSplit/>
        </w:trPr>
        <w:tc>
          <w:tcPr>
            <w:tcW w:w="135" w:type="dxa"/>
            <w:shd w:val="clear" w:color="auto" w:fill="auto"/>
            <w:vAlign w:val="bottom"/>
          </w:tcPr>
          <w:p w:rsidR="00096DC9" w:rsidRDefault="00096DC9"/>
        </w:tc>
        <w:tc>
          <w:tcPr>
            <w:tcW w:w="390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1884" w:type="dxa"/>
            <w:gridSpan w:val="6"/>
            <w:shd w:val="clear" w:color="auto" w:fill="auto"/>
            <w:vAlign w:val="bottom"/>
          </w:tcPr>
          <w:p w:rsidR="00096DC9" w:rsidRDefault="00096DC9"/>
        </w:tc>
        <w:tc>
          <w:tcPr>
            <w:tcW w:w="6638" w:type="dxa"/>
            <w:gridSpan w:val="22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096DC9" w:rsidRDefault="00C148DB">
            <w:r>
              <w:rPr>
                <w:szCs w:val="16"/>
              </w:rPr>
              <w:t xml:space="preserve">БИК </w:t>
            </w:r>
            <w:r>
              <w:rPr>
                <w:lang w:eastAsia="ar-SA"/>
              </w:rPr>
              <w:t>040407627</w:t>
            </w:r>
            <w:r>
              <w:rPr>
                <w:szCs w:val="16"/>
              </w:rPr>
              <w:t xml:space="preserve">, </w:t>
            </w:r>
            <w:r>
              <w:rPr>
                <w:lang w:eastAsia="ar-SA"/>
              </w:rPr>
              <w:t>к/с 30101810800000000627</w:t>
            </w:r>
          </w:p>
        </w:tc>
        <w:tc>
          <w:tcPr>
            <w:tcW w:w="165" w:type="dxa"/>
            <w:shd w:val="clear" w:color="auto" w:fill="auto"/>
            <w:vAlign w:val="bottom"/>
          </w:tcPr>
          <w:p w:rsidR="00096DC9" w:rsidRDefault="00096DC9"/>
        </w:tc>
      </w:tr>
      <w:tr w:rsidR="00096DC9">
        <w:trPr>
          <w:cantSplit/>
        </w:trPr>
        <w:tc>
          <w:tcPr>
            <w:tcW w:w="135" w:type="dxa"/>
            <w:shd w:val="clear" w:color="auto" w:fill="auto"/>
            <w:vAlign w:val="bottom"/>
          </w:tcPr>
          <w:p w:rsidR="00096DC9" w:rsidRDefault="00096DC9"/>
        </w:tc>
        <w:tc>
          <w:tcPr>
            <w:tcW w:w="390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8522" w:type="dxa"/>
            <w:gridSpan w:val="28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096DC9" w:rsidRDefault="00C148DB">
            <w:r>
              <w:rPr>
                <w:szCs w:val="16"/>
              </w:rPr>
              <w:t>От имени Заказчика настоящий Договор подписывает:</w:t>
            </w:r>
          </w:p>
        </w:tc>
        <w:tc>
          <w:tcPr>
            <w:tcW w:w="165" w:type="dxa"/>
            <w:shd w:val="clear" w:color="auto" w:fill="auto"/>
            <w:vAlign w:val="bottom"/>
          </w:tcPr>
          <w:p w:rsidR="00096DC9" w:rsidRDefault="00096DC9"/>
        </w:tc>
      </w:tr>
      <w:tr w:rsidR="00096DC9">
        <w:trPr>
          <w:cantSplit/>
        </w:trPr>
        <w:tc>
          <w:tcPr>
            <w:tcW w:w="135" w:type="dxa"/>
            <w:shd w:val="clear" w:color="auto" w:fill="auto"/>
            <w:vAlign w:val="bottom"/>
          </w:tcPr>
          <w:p w:rsidR="00096DC9" w:rsidRDefault="00096DC9"/>
        </w:tc>
        <w:tc>
          <w:tcPr>
            <w:tcW w:w="390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1884" w:type="dxa"/>
            <w:gridSpan w:val="6"/>
            <w:shd w:val="clear" w:color="auto" w:fill="auto"/>
            <w:vAlign w:val="bottom"/>
          </w:tcPr>
          <w:p w:rsidR="00096DC9" w:rsidRDefault="00C148DB">
            <w:r>
              <w:rPr>
                <w:szCs w:val="16"/>
              </w:rPr>
              <w:t>ФИО:</w:t>
            </w:r>
          </w:p>
        </w:tc>
        <w:tc>
          <w:tcPr>
            <w:tcW w:w="6638" w:type="dxa"/>
            <w:gridSpan w:val="22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096DC9" w:rsidRDefault="00C148DB">
            <w:r>
              <w:t>Таранков А. И.</w:t>
            </w:r>
          </w:p>
        </w:tc>
        <w:tc>
          <w:tcPr>
            <w:tcW w:w="165" w:type="dxa"/>
            <w:shd w:val="clear" w:color="auto" w:fill="auto"/>
            <w:vAlign w:val="bottom"/>
          </w:tcPr>
          <w:p w:rsidR="00096DC9" w:rsidRDefault="00096DC9"/>
        </w:tc>
      </w:tr>
      <w:tr w:rsidR="00096DC9">
        <w:trPr>
          <w:cantSplit/>
        </w:trPr>
        <w:tc>
          <w:tcPr>
            <w:tcW w:w="135" w:type="dxa"/>
            <w:shd w:val="clear" w:color="auto" w:fill="auto"/>
            <w:vAlign w:val="bottom"/>
          </w:tcPr>
          <w:p w:rsidR="00096DC9" w:rsidRDefault="00096DC9"/>
        </w:tc>
        <w:tc>
          <w:tcPr>
            <w:tcW w:w="390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1884" w:type="dxa"/>
            <w:gridSpan w:val="6"/>
            <w:shd w:val="clear" w:color="auto" w:fill="auto"/>
            <w:vAlign w:val="bottom"/>
          </w:tcPr>
          <w:p w:rsidR="00096DC9" w:rsidRDefault="00C148DB">
            <w:r>
              <w:rPr>
                <w:szCs w:val="16"/>
              </w:rPr>
              <w:t>Должность:</w:t>
            </w:r>
          </w:p>
        </w:tc>
        <w:tc>
          <w:tcPr>
            <w:tcW w:w="6638" w:type="dxa"/>
            <w:gridSpan w:val="22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096DC9" w:rsidRDefault="00C148DB">
            <w:r>
              <w:t xml:space="preserve">И.о. </w:t>
            </w:r>
            <w:r>
              <w:t xml:space="preserve">управляющего директора - первого заместителя генерального директора </w:t>
            </w:r>
          </w:p>
        </w:tc>
        <w:tc>
          <w:tcPr>
            <w:tcW w:w="165" w:type="dxa"/>
            <w:shd w:val="clear" w:color="auto" w:fill="auto"/>
            <w:vAlign w:val="bottom"/>
          </w:tcPr>
          <w:p w:rsidR="00096DC9" w:rsidRDefault="00096DC9"/>
        </w:tc>
      </w:tr>
      <w:tr w:rsidR="00096DC9">
        <w:trPr>
          <w:cantSplit/>
        </w:trPr>
        <w:tc>
          <w:tcPr>
            <w:tcW w:w="135" w:type="dxa"/>
            <w:shd w:val="clear" w:color="auto" w:fill="auto"/>
            <w:vAlign w:val="bottom"/>
          </w:tcPr>
          <w:p w:rsidR="00096DC9" w:rsidRDefault="00096DC9"/>
        </w:tc>
        <w:tc>
          <w:tcPr>
            <w:tcW w:w="390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1884" w:type="dxa"/>
            <w:gridSpan w:val="6"/>
            <w:shd w:val="clear" w:color="auto" w:fill="auto"/>
            <w:vAlign w:val="bottom"/>
          </w:tcPr>
          <w:p w:rsidR="00096DC9" w:rsidRDefault="00C148DB">
            <w:r>
              <w:rPr>
                <w:szCs w:val="16"/>
              </w:rPr>
              <w:t>На основании:</w:t>
            </w:r>
          </w:p>
        </w:tc>
        <w:tc>
          <w:tcPr>
            <w:tcW w:w="6638" w:type="dxa"/>
            <w:gridSpan w:val="22"/>
            <w:tcBorders>
              <w:bottom w:val="single" w:sz="5" w:space="0" w:color="auto"/>
            </w:tcBorders>
            <w:shd w:val="clear" w:color="auto" w:fill="auto"/>
            <w:vAlign w:val="bottom"/>
          </w:tcPr>
          <w:p w:rsidR="00096DC9" w:rsidRDefault="00C148DB">
            <w:r>
              <w:t>Доверенности от 02.12.2025 №93/125</w:t>
            </w:r>
          </w:p>
        </w:tc>
        <w:tc>
          <w:tcPr>
            <w:tcW w:w="165" w:type="dxa"/>
            <w:shd w:val="clear" w:color="auto" w:fill="auto"/>
            <w:vAlign w:val="bottom"/>
          </w:tcPr>
          <w:p w:rsidR="00096DC9" w:rsidRDefault="00096DC9"/>
        </w:tc>
      </w:tr>
      <w:tr w:rsidR="00096DC9">
        <w:trPr>
          <w:cantSplit/>
        </w:trPr>
        <w:tc>
          <w:tcPr>
            <w:tcW w:w="135" w:type="dxa"/>
            <w:shd w:val="clear" w:color="auto" w:fill="auto"/>
            <w:vAlign w:val="bottom"/>
          </w:tcPr>
          <w:p w:rsidR="00096DC9" w:rsidRDefault="00096DC9"/>
        </w:tc>
        <w:tc>
          <w:tcPr>
            <w:tcW w:w="390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165" w:type="dxa"/>
            <w:shd w:val="clear" w:color="auto" w:fill="auto"/>
            <w:vAlign w:val="bottom"/>
          </w:tcPr>
          <w:p w:rsidR="00096DC9" w:rsidRDefault="00096DC9"/>
        </w:tc>
      </w:tr>
      <w:tr w:rsidR="00096DC9">
        <w:trPr>
          <w:cantSplit/>
        </w:trPr>
        <w:tc>
          <w:tcPr>
            <w:tcW w:w="135" w:type="dxa"/>
            <w:shd w:val="clear" w:color="auto" w:fill="auto"/>
          </w:tcPr>
          <w:p w:rsidR="00096DC9" w:rsidRDefault="00096DC9"/>
        </w:tc>
        <w:tc>
          <w:tcPr>
            <w:tcW w:w="390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r>
              <w:rPr>
                <w:b/>
                <w:szCs w:val="16"/>
              </w:rPr>
              <w:t>1. Термины и определения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Активация - действие, означающее начало оказания Услуги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Договор - данный документ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Лицевой счет - раздел Личного кабинета, в котором отражаются платежи Заказчика в пользу Исполнителя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 xml:space="preserve">Личный кабинет - персональный раздел </w:t>
            </w:r>
            <w:r>
              <w:rPr>
                <w:szCs w:val="16"/>
              </w:rPr>
              <w:t>Сайта, доступный Заказчику при использовании Учетной информации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Сайт - интернет-сайт или мобильное приложение с доменом hh.ru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Тариф - условия, определяющие стоимость оказания Услуг, размещенные в Личном кабинете Заказчика по адресу: https://hh.ru/price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Условия оказания Услуг - условия оказания Услуг, размещенные по адресу: https://hh.ru/conditions, согласно которым происходит оказание услуг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Условия использования Сайтов - условия использования Сайта, размещенные по адресу: https://hh.ru/terms.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Услу</w:t>
            </w:r>
            <w:r>
              <w:rPr>
                <w:szCs w:val="16"/>
              </w:rPr>
              <w:t>га - услуга, указанная в Договоре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Учетная информация - логин и пароль Заказчика, используемые для входа в Личный кабинет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135" w:type="dxa"/>
            <w:shd w:val="clear" w:color="auto" w:fill="auto"/>
          </w:tcPr>
          <w:p w:rsidR="00096DC9" w:rsidRDefault="00096DC9"/>
        </w:tc>
        <w:tc>
          <w:tcPr>
            <w:tcW w:w="390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r>
              <w:rPr>
                <w:b/>
                <w:szCs w:val="16"/>
              </w:rPr>
              <w:t>2. Предмет Договора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2.1. Исполнитель обязуется оказать Заказчику следующие услуги: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135" w:type="dxa"/>
            <w:shd w:val="clear" w:color="auto" w:fill="auto"/>
            <w:vAlign w:val="center"/>
          </w:tcPr>
          <w:p w:rsidR="00096DC9" w:rsidRDefault="00096DC9">
            <w:pPr>
              <w:jc w:val="center"/>
            </w:pPr>
          </w:p>
        </w:tc>
        <w:tc>
          <w:tcPr>
            <w:tcW w:w="9540" w:type="dxa"/>
            <w:gridSpan w:val="31"/>
            <w:shd w:val="clear" w:color="auto" w:fill="auto"/>
          </w:tcPr>
          <w:p w:rsidR="00096DC9" w:rsidRDefault="00C148DB">
            <w:r>
              <w:t>Доступ к Базе данных резюме с предложениями соискателей о трудоустройстве (резюме) с использованием ПО HeadHunter с возможностью просмотра контактной информации сои</w:t>
            </w:r>
            <w:r>
              <w:t>скателя с использованием API HH и публикациями вакансий: региональный критерий "Сибирский федеральный округ", критерий специализации "Все специализации", возможность просмотра контактной информации соискателя, количество просмотров 3500 шт., сроком предост</w:t>
            </w:r>
            <w:r>
              <w:t>авления на 365 дней, предоставление возможности публикации вакансий «Стандарт» в течение срока предоставления Доступа к Базе данных в количестве 335 шт.</w:t>
            </w:r>
          </w:p>
        </w:tc>
        <w:tc>
          <w:tcPr>
            <w:tcW w:w="165" w:type="dxa"/>
            <w:shd w:val="clear" w:color="auto" w:fill="auto"/>
            <w:vAlign w:val="bottom"/>
          </w:tcPr>
          <w:p w:rsidR="00096DC9" w:rsidRDefault="00096DC9"/>
        </w:tc>
      </w:tr>
      <w:tr w:rsidR="00096DC9">
        <w:trPr>
          <w:cantSplit/>
        </w:trPr>
        <w:tc>
          <w:tcPr>
            <w:tcW w:w="135" w:type="dxa"/>
            <w:shd w:val="clear" w:color="auto" w:fill="auto"/>
            <w:vAlign w:val="center"/>
          </w:tcPr>
          <w:p w:rsidR="00096DC9" w:rsidRDefault="00096DC9">
            <w:pPr>
              <w:jc w:val="center"/>
            </w:pPr>
          </w:p>
        </w:tc>
        <w:tc>
          <w:tcPr>
            <w:tcW w:w="9540" w:type="dxa"/>
            <w:gridSpan w:val="31"/>
            <w:shd w:val="clear" w:color="auto" w:fill="auto"/>
          </w:tcPr>
          <w:p w:rsidR="00096DC9" w:rsidRDefault="00096DC9"/>
        </w:tc>
        <w:tc>
          <w:tcPr>
            <w:tcW w:w="165" w:type="dxa"/>
            <w:shd w:val="clear" w:color="auto" w:fill="auto"/>
            <w:vAlign w:val="bottom"/>
          </w:tcPr>
          <w:p w:rsidR="00096DC9" w:rsidRDefault="00096DC9"/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а Заказчик оплачивает стоимость Услуг согласно Договору.</w:t>
            </w:r>
          </w:p>
          <w:p w:rsidR="00096DC9" w:rsidRDefault="00C148DB">
            <w:pPr>
              <w:jc w:val="both"/>
              <w:rPr>
                <w:highlight w:val="yellow"/>
              </w:rPr>
            </w:pPr>
            <w:r>
              <w:rPr>
                <w:szCs w:val="16"/>
                <w:highlight w:val="yellow"/>
              </w:rPr>
              <w:t>2.2. Договор регулирует общие условия оказания Услуг. Неотъемлемыми частями Договора являются: приложение №1 «Условия оказания услуг», приложение №2  «Условия использования сайтов», приложение № 3 «Тарифы».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2.3. Заказчик дает заверение о том, что он ознакомился и принимает Условия оказания Услуг, Условия использования Сайтов и Тарифы.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2.4. Условия Активации, порядок и сроки оказания Услуг определяются в Договоре и/или в Условиях оказания Услуг.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2.5. Испол</w:t>
            </w:r>
            <w:r>
              <w:rPr>
                <w:szCs w:val="16"/>
              </w:rPr>
              <w:t>нитель оказывает Услуги, предоставляемые посредством Сайта с использованием ПО HeadHunter для работы с сервисами и базами данных, зарегистрированного в едином реестре российских программ и баз данных Минцифры за № 20750.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135" w:type="dxa"/>
            <w:shd w:val="clear" w:color="auto" w:fill="auto"/>
          </w:tcPr>
          <w:p w:rsidR="00096DC9" w:rsidRDefault="00096DC9"/>
        </w:tc>
        <w:tc>
          <w:tcPr>
            <w:tcW w:w="390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r>
              <w:rPr>
                <w:b/>
                <w:szCs w:val="16"/>
              </w:rPr>
              <w:t>3. Права и обязанности сторон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I Общие положения</w:t>
            </w:r>
          </w:p>
          <w:p w:rsidR="00096DC9" w:rsidRDefault="00C148DB">
            <w:pPr>
              <w:jc w:val="both"/>
            </w:pPr>
            <w:r>
              <w:rPr>
                <w:szCs w:val="16"/>
              </w:rPr>
              <w:t>3.1. Активация Услуг производится Заказчиком, если иное не согласовано Сторонами.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3.2. Активация услуги возможна только если сумма, отражаемая на его Лицевом счете больше или равна стоимости Услуги.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II Личный кабинет</w:t>
            </w:r>
          </w:p>
          <w:p w:rsidR="00096DC9" w:rsidRDefault="00C148DB">
            <w:pPr>
              <w:jc w:val="both"/>
            </w:pPr>
            <w:r>
              <w:rPr>
                <w:szCs w:val="16"/>
              </w:rPr>
              <w:t>3.3. Чтобы получить доступ в Личный кабинет, Заказчик обязан пройти регистрацию на Сайте в порядке, описанном в Условиях использования Сайтов.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3.4. Все действия, совершенные в Личном кабинете с использованием Учетной информации Заказчи</w:t>
            </w:r>
            <w:r>
              <w:rPr>
                <w:szCs w:val="16"/>
              </w:rPr>
              <w:t>ка, считаются совершенными им.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3.5. Факт Активации и любых других действий Заказчика в Личном кабинете устанавливаются на основе технических средств контроля и статистических данных Сайта.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3.6. В случае несанкционированного доступа третьих лиц в Личный</w:t>
            </w:r>
            <w:r>
              <w:rPr>
                <w:szCs w:val="16"/>
              </w:rPr>
              <w:t xml:space="preserve"> кабинет Заказчик обязан незамедлительно сообщить об этом Исполнителю. В противном случае он самостоятельно несет риск негативных последствий.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135" w:type="dxa"/>
            <w:shd w:val="clear" w:color="auto" w:fill="auto"/>
          </w:tcPr>
          <w:p w:rsidR="00096DC9" w:rsidRDefault="00096DC9"/>
        </w:tc>
        <w:tc>
          <w:tcPr>
            <w:tcW w:w="390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r>
              <w:rPr>
                <w:b/>
                <w:szCs w:val="16"/>
              </w:rPr>
              <w:t>4. Срок оказания услуг, стоимость и порядок оплаты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trHeight w:val="184"/>
        </w:trPr>
        <w:tc>
          <w:tcPr>
            <w:tcW w:w="9675" w:type="dxa"/>
            <w:gridSpan w:val="32"/>
            <w:vMerge w:val="restart"/>
            <w:shd w:val="clear" w:color="FFFFFF" w:fill="FFFFFF"/>
          </w:tcPr>
          <w:p w:rsidR="00096DC9" w:rsidRDefault="00C148DB">
            <w:pPr>
              <w:jc w:val="both"/>
              <w:rPr>
                <w:szCs w:val="16"/>
                <w:highlight w:val="yellow"/>
              </w:rPr>
            </w:pPr>
            <w:r>
              <w:rPr>
                <w:szCs w:val="16"/>
                <w:highlight w:val="yellow"/>
              </w:rPr>
              <w:t>4.1. Срок оказания услуг – в течение 365 календарных дней с момента активации услуг.</w:t>
            </w:r>
          </w:p>
        </w:tc>
        <w:tc>
          <w:tcPr>
            <w:tcW w:w="165" w:type="dxa"/>
            <w:vMerge w:val="restart"/>
            <w:shd w:val="clear" w:color="FFFFFF" w:fill="FFFFFF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 w:rsidP="00C148DB">
            <w:pPr>
              <w:jc w:val="both"/>
            </w:pPr>
            <w:r>
              <w:rPr>
                <w:szCs w:val="16"/>
              </w:rPr>
              <w:t xml:space="preserve">4.2. </w:t>
            </w:r>
            <w:r>
              <w:rPr>
                <w:szCs w:val="16"/>
              </w:rPr>
              <w:t>Стоимость Услуг Исполнителя составляет ___</w:t>
            </w:r>
            <w:r>
              <w:rPr>
                <w:szCs w:val="16"/>
              </w:rPr>
              <w:t xml:space="preserve"> р. (___</w:t>
            </w:r>
            <w:r>
              <w:rPr>
                <w:szCs w:val="16"/>
              </w:rPr>
              <w:t xml:space="preserve"> рублей __</w:t>
            </w:r>
            <w:r>
              <w:rPr>
                <w:szCs w:val="16"/>
              </w:rPr>
              <w:t xml:space="preserve"> копеек), в том числе НДС ___</w:t>
            </w:r>
            <w:r>
              <w:rPr>
                <w:szCs w:val="16"/>
              </w:rPr>
              <w:t xml:space="preserve"> р. (___</w:t>
            </w:r>
            <w:r>
              <w:rPr>
                <w:szCs w:val="16"/>
              </w:rPr>
              <w:t xml:space="preserve"> рублей __</w:t>
            </w:r>
            <w:bookmarkStart w:id="0" w:name="_GoBack"/>
            <w:bookmarkEnd w:id="0"/>
            <w:r>
              <w:rPr>
                <w:szCs w:val="16"/>
              </w:rPr>
              <w:t xml:space="preserve"> копейки).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4.3. Заказчик оплачивает Услуги на основании счета Исполнителя в в</w:t>
            </w:r>
            <w:r>
              <w:rPr>
                <w:szCs w:val="16"/>
              </w:rPr>
              <w:t>иде 100%-ной предоплаты.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4.4. Заказчик может самостоятельно сформировать счет в Личном кабинете.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4.5. Информация о зачисленных денежных средствах отображается на Лицевом счете не позднее 1 рабочего дня с момента зачисления их на расчетный счет Исполнит</w:t>
            </w:r>
            <w:r>
              <w:rPr>
                <w:szCs w:val="16"/>
              </w:rPr>
              <w:t>еля.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lastRenderedPageBreak/>
              <w:t>Оформление платежного поручения</w:t>
            </w:r>
          </w:p>
          <w:p w:rsidR="00096DC9" w:rsidRDefault="00C148DB">
            <w:pPr>
              <w:jc w:val="both"/>
            </w:pPr>
            <w:r>
              <w:rPr>
                <w:szCs w:val="16"/>
              </w:rPr>
              <w:t>4.6. Заказчик обязан обеспечить указание в назначении платежа:</w:t>
            </w:r>
          </w:p>
          <w:p w:rsidR="00096DC9" w:rsidRDefault="00C148DB">
            <w:pPr>
              <w:jc w:val="both"/>
            </w:pPr>
            <w:r>
              <w:rPr>
                <w:szCs w:val="16"/>
              </w:rPr>
              <w:t>4.6.1. номера счета Исполнителя, на основании которого производится оплата;</w:t>
            </w:r>
          </w:p>
          <w:p w:rsidR="00096DC9" w:rsidRDefault="00C148DB">
            <w:pPr>
              <w:jc w:val="both"/>
            </w:pPr>
            <w:r>
              <w:rPr>
                <w:szCs w:val="16"/>
              </w:rPr>
              <w:t>4.6.2. наименования Заказчика и реквизитов Договора, если платеж за него совер</w:t>
            </w:r>
            <w:r>
              <w:rPr>
                <w:szCs w:val="16"/>
              </w:rPr>
              <w:t>шает третье лицо.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4.7. Если Заказчик в назначении платежа указал полные и достоверные сведения, обязательства по оплате считаются исполненными с момента поступления денежных средств на корреспондентский счет банка Исполнителя.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4.8. Если Заказчик в назначении платежа не указал необходимые сведения, обязательства по оплате считаются неисполненными до момента предоставления Заказчиком недостающих сведений.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4.9. Если Заказчик в назначении платежа указал ошибочные сведения, Исполни</w:t>
            </w:r>
            <w:r>
              <w:rPr>
                <w:szCs w:val="16"/>
              </w:rPr>
              <w:t>тель вправе учесть платеж в соответствии с данными собственного учета или обратиться к Заказчику за уточнением платежа.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135" w:type="dxa"/>
            <w:shd w:val="clear" w:color="auto" w:fill="auto"/>
          </w:tcPr>
          <w:p w:rsidR="00096DC9" w:rsidRDefault="00096DC9"/>
        </w:tc>
        <w:tc>
          <w:tcPr>
            <w:tcW w:w="390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r>
              <w:rPr>
                <w:b/>
                <w:szCs w:val="16"/>
              </w:rPr>
              <w:t>5. Налоги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5.1. Услуги Исполнителя облагаются НДС в соответствии с законодательством РФ.В случае изменения налогового законодательства виды и ставки косвенных налогов, в том числе НДС, будут применяться в соответствии с изменениями. Исполнитель оформл</w:t>
            </w:r>
            <w:r>
              <w:rPr>
                <w:szCs w:val="16"/>
              </w:rPr>
              <w:t>яет документы в соответствии с изменениями, а Заказчик обязан принимать такие документы.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5.2. Стороны дают заверение о том, что они являются добросовестными налогоплательщиками:</w:t>
            </w:r>
          </w:p>
          <w:p w:rsidR="00096DC9" w:rsidRDefault="00C148DB">
            <w:pPr>
              <w:jc w:val="both"/>
            </w:pPr>
            <w:r>
              <w:rPr>
                <w:szCs w:val="16"/>
              </w:rPr>
              <w:t xml:space="preserve">5.2.1. исполняют обязанности, установленные действующим законодательством в </w:t>
            </w:r>
            <w:r>
              <w:rPr>
                <w:szCs w:val="16"/>
              </w:rPr>
              <w:t>части предоставления бухгалтерской и налоговой отчетности,</w:t>
            </w:r>
          </w:p>
          <w:p w:rsidR="00096DC9" w:rsidRDefault="00C148DB">
            <w:pPr>
              <w:jc w:val="both"/>
            </w:pPr>
            <w:r>
              <w:rPr>
                <w:szCs w:val="16"/>
              </w:rPr>
              <w:t>5.2.2. исполняют обязанности по уплате налогов надлежащим образом;</w:t>
            </w:r>
          </w:p>
          <w:p w:rsidR="00096DC9" w:rsidRDefault="00C148DB">
            <w:pPr>
              <w:jc w:val="both"/>
            </w:pPr>
            <w:r>
              <w:rPr>
                <w:szCs w:val="16"/>
              </w:rPr>
              <w:t>5.2.3. обладают необходимыми средствами, обеспечивающими исполнение Договора.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135" w:type="dxa"/>
            <w:shd w:val="clear" w:color="auto" w:fill="auto"/>
          </w:tcPr>
          <w:p w:rsidR="00096DC9" w:rsidRDefault="00096DC9"/>
        </w:tc>
        <w:tc>
          <w:tcPr>
            <w:tcW w:w="390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r>
              <w:rPr>
                <w:b/>
                <w:szCs w:val="16"/>
              </w:rPr>
              <w:t>6. Порядок приема-передачи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6.1. Стороны фиксируют факт оказания Услуг, их стоимость и сумму налога путем составления документа в соответствии с законодательством РФ (далее — документ, подтверждающий оказание Услуг).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6.2. Порядок выставления документа, подтверждающего оказание Услуг определяется Условиями оказания Услуг.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6.3. Заказчик обязан подписать документ, подтверждающий оказание Услуг, в течение 5 рабочих дней с момента его предоставления или направить к нему п</w:t>
            </w:r>
            <w:r>
              <w:rPr>
                <w:szCs w:val="16"/>
              </w:rPr>
              <w:t>исьменные возражения по факту оказания Услуг.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 xml:space="preserve">6.4. Если Заказчик не подписал документ, подтверждающий оказание Услуг, или не направил к нему письменные возражения по факту оказания Услуг в течение 5 рабочих дней с момента его получения, Услуги считаются </w:t>
            </w:r>
            <w:r>
              <w:rPr>
                <w:szCs w:val="16"/>
              </w:rPr>
              <w:t>оказанными Исполнителем надлежащим образом и принятыми Заказчиком без замечаний.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6.5. В случае оформления универсального передаточного документа (далее — УПД), акт и счет-фактура не оформляются. УПД сочетает в себе форму первичного учетного документа и с</w:t>
            </w:r>
            <w:r>
              <w:rPr>
                <w:szCs w:val="16"/>
              </w:rPr>
              <w:t>чета-фактуры.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135" w:type="dxa"/>
            <w:shd w:val="clear" w:color="auto" w:fill="auto"/>
          </w:tcPr>
          <w:p w:rsidR="00096DC9" w:rsidRDefault="00096DC9"/>
        </w:tc>
        <w:tc>
          <w:tcPr>
            <w:tcW w:w="390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r>
              <w:rPr>
                <w:b/>
                <w:szCs w:val="16"/>
              </w:rPr>
              <w:t>7. Конфиденциальная информация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7.1. Стороны обязуются обеспечить конфиденциальность информации, ставшей известной им в рамках исполнения Договора, в том числе:</w:t>
            </w:r>
          </w:p>
          <w:p w:rsidR="00096DC9" w:rsidRDefault="00C148DB">
            <w:pPr>
              <w:jc w:val="both"/>
            </w:pPr>
            <w:r>
              <w:rPr>
                <w:szCs w:val="16"/>
              </w:rPr>
              <w:t>7.1.1. Учетной информации;</w:t>
            </w:r>
          </w:p>
          <w:p w:rsidR="00096DC9" w:rsidRDefault="00C148DB">
            <w:pPr>
              <w:jc w:val="both"/>
            </w:pPr>
            <w:r>
              <w:rPr>
                <w:szCs w:val="16"/>
              </w:rPr>
              <w:t>7.1.2. Персональных данных соискателей, доступ к которым получен Заказчиком в рамках исполнения Договора.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7.2. Факт заключения Сторонами настоящего Договора не является конфиденциальной информацией.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7.3. Стороны не вправе передавать конфиденциальную ин</w:t>
            </w:r>
            <w:r>
              <w:rPr>
                <w:szCs w:val="16"/>
              </w:rPr>
              <w:t>формацию третьим лицам за исключением случаев, когда такая информация должна быть предоставлена в соответствии с требованиями законодательства.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7.4. В случае разглашения конфиденциальной информации сторона обязана незамедлительно уведомить об этом другую</w:t>
            </w:r>
            <w:r>
              <w:rPr>
                <w:szCs w:val="16"/>
              </w:rPr>
              <w:t xml:space="preserve"> сторону.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135" w:type="dxa"/>
            <w:shd w:val="clear" w:color="auto" w:fill="auto"/>
          </w:tcPr>
          <w:p w:rsidR="00096DC9" w:rsidRDefault="00096DC9"/>
        </w:tc>
        <w:tc>
          <w:tcPr>
            <w:tcW w:w="390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r>
              <w:rPr>
                <w:b/>
                <w:szCs w:val="16"/>
              </w:rPr>
              <w:t>8. Персональные данные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8.1. Стороны обязуются в целях исполнения Договора соблюдать требования Федерального закона от 27 июля 2006 года №152-ФЗ  «О персональных данных» в отношении персональных данных, которые станут доступны им в результате заключен</w:t>
            </w:r>
            <w:r>
              <w:rPr>
                <w:szCs w:val="16"/>
              </w:rPr>
              <w:t>ия Договора.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8.2. Заказчик обязан:</w:t>
            </w:r>
          </w:p>
          <w:p w:rsidR="00096DC9" w:rsidRDefault="00C148DB">
            <w:pPr>
              <w:jc w:val="both"/>
            </w:pPr>
            <w:r>
              <w:rPr>
                <w:szCs w:val="16"/>
              </w:rPr>
              <w:t>8.2.1. не передавать персональные данные третьим лицам;</w:t>
            </w:r>
          </w:p>
          <w:p w:rsidR="00096DC9" w:rsidRDefault="00C148DB">
            <w:pPr>
              <w:jc w:val="both"/>
            </w:pPr>
            <w:r>
              <w:rPr>
                <w:szCs w:val="16"/>
              </w:rPr>
              <w:t>8.2.2. не размещать персональные данные на собственном сайте или в своей базе данных;</w:t>
            </w:r>
          </w:p>
          <w:p w:rsidR="00096DC9" w:rsidRDefault="00C148DB">
            <w:pPr>
              <w:jc w:val="both"/>
            </w:pPr>
            <w:r>
              <w:rPr>
                <w:szCs w:val="16"/>
              </w:rPr>
              <w:t>8.2.3. не разглашать информацию о том, что персональные данные какого-либо фи</w:t>
            </w:r>
            <w:r>
              <w:rPr>
                <w:szCs w:val="16"/>
              </w:rPr>
              <w:t>зического лица размещены на Сайте.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135" w:type="dxa"/>
            <w:shd w:val="clear" w:color="auto" w:fill="auto"/>
          </w:tcPr>
          <w:p w:rsidR="00096DC9" w:rsidRDefault="00096DC9"/>
        </w:tc>
        <w:tc>
          <w:tcPr>
            <w:tcW w:w="390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r>
              <w:rPr>
                <w:b/>
                <w:szCs w:val="16"/>
              </w:rPr>
              <w:t>9. Ответственность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9.1. За неисполнение или ненадлежащее исполнение принятых на себя обязательств по Договору, Стороны несут ответственность в соответствии с законодательством Российской Федерации, а также положениями Договора.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9.2. Если по техниче</w:t>
            </w:r>
            <w:r>
              <w:rPr>
                <w:szCs w:val="16"/>
              </w:rPr>
              <w:t>ским причинам Сайт был недоступен более 4 часов подряд в рабочее дни и время с 9 до 19 часов по местному времени Заказчика, Исполнитель увеличивает срок оказания Услуг на сутки за каждый факт неработоспособности Сайта.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 xml:space="preserve">9.3. В случае нарушения Заказчиком </w:t>
            </w:r>
            <w:r>
              <w:rPr>
                <w:szCs w:val="16"/>
              </w:rPr>
              <w:t>Условий использования Сайтов Исполнитель направляет Заказчику предупреждение с описанием нарушения. После этого Исполнитель вправе:</w:t>
            </w:r>
          </w:p>
          <w:p w:rsidR="00096DC9" w:rsidRDefault="00C148DB">
            <w:pPr>
              <w:jc w:val="both"/>
            </w:pPr>
            <w:r>
              <w:rPr>
                <w:szCs w:val="16"/>
              </w:rPr>
              <w:t>9.3.1. приостановить доступ Заказчика к Личному кабинету;</w:t>
            </w:r>
          </w:p>
          <w:p w:rsidR="00096DC9" w:rsidRDefault="00C148DB">
            <w:pPr>
              <w:jc w:val="both"/>
            </w:pPr>
            <w:r>
              <w:rPr>
                <w:szCs w:val="16"/>
              </w:rPr>
              <w:t>9.3.2. аннулировать Учетную информацию Заказчика; расторгнуть Дого</w:t>
            </w:r>
            <w:r>
              <w:rPr>
                <w:szCs w:val="16"/>
              </w:rPr>
              <w:t>вор в одностороннем порядке; потребовать уплаты штрафа в размере 10 000 рублей за каждый факт нарушения Заказчиком Условий использования Сайтов.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9.4. Нарушение обязательств по Договору может устанавливаться на основе технических средс</w:t>
            </w:r>
            <w:r>
              <w:rPr>
                <w:szCs w:val="16"/>
              </w:rPr>
              <w:t>тв контроля и статистических данных Сайта.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9.5. Исполнитель не несет ответственность за негативные последствия, возникшие в результате несанкционированного доступа третьих лиц к Личному Кабинету Заказчика. Исключением являются случаи, когда несанкциониро</w:t>
            </w:r>
            <w:r>
              <w:rPr>
                <w:szCs w:val="16"/>
              </w:rPr>
              <w:t>ванный доступ произошел по вине Исполнителя.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135" w:type="dxa"/>
            <w:shd w:val="clear" w:color="auto" w:fill="auto"/>
          </w:tcPr>
          <w:p w:rsidR="00096DC9" w:rsidRDefault="00096DC9"/>
        </w:tc>
        <w:tc>
          <w:tcPr>
            <w:tcW w:w="390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r>
              <w:rPr>
                <w:b/>
                <w:szCs w:val="16"/>
              </w:rPr>
              <w:t>10. Обстоятельства непреодолимой силы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 xml:space="preserve">10.1. Ни одна из Сторон не несет ответственности за полное или частичное неисполнение любой из своих обязанностей, если неисполнение является следствием таких обстоятельств, как наводнение, пожар, землетрясение, </w:t>
            </w:r>
            <w:r>
              <w:rPr>
                <w:szCs w:val="16"/>
              </w:rPr>
              <w:t>другие стихийные бедствия, война или военные действия и другие обстоятельства непреодолимой силы, возникшие после заключения Договора.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10.2. Документ, выданный соответствующим компетентным органом, является достаточным подтверждением наличия и продолжите</w:t>
            </w:r>
            <w:r>
              <w:rPr>
                <w:szCs w:val="16"/>
              </w:rPr>
              <w:t>льности действия непреодолимой силы.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10.3. В случае действия обстоятельств непреодолимой силы более 3 (Трех) месяцев любая Сторона вправе в одностороннем порядке отказаться от исполнения своих обязательств по Договору (расторгнуть Договор).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135" w:type="dxa"/>
            <w:shd w:val="clear" w:color="auto" w:fill="auto"/>
          </w:tcPr>
          <w:p w:rsidR="00096DC9" w:rsidRDefault="00096DC9"/>
        </w:tc>
        <w:tc>
          <w:tcPr>
            <w:tcW w:w="390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r>
              <w:rPr>
                <w:b/>
                <w:szCs w:val="16"/>
              </w:rPr>
              <w:t>11. Разрешение споров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pStyle w:val="a4"/>
              <w:tabs>
                <w:tab w:val="left" w:pos="426"/>
              </w:tabs>
            </w:pPr>
            <w:r>
              <w:rPr>
                <w:szCs w:val="16"/>
              </w:rPr>
              <w:lastRenderedPageBreak/>
              <w:t xml:space="preserve">11.1. </w:t>
            </w:r>
            <w:r>
              <w:rPr>
                <w:bCs/>
              </w:rPr>
      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толкования, изменения, исполнения, нарушения, расторжения, прекращения и действ</w:t>
            </w:r>
            <w:r>
              <w:rPr>
                <w:bCs/>
              </w:rPr>
              <w:t xml:space="preserve">ительности,  подлежат разрешению в Арбитражном суде по месту нахождения Ответчика. 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pStyle w:val="a4"/>
              <w:tabs>
                <w:tab w:val="left" w:pos="426"/>
              </w:tabs>
              <w:rPr>
                <w:rFonts w:eastAsia="Calibri"/>
              </w:rPr>
            </w:pPr>
            <w:r>
              <w:rPr>
                <w:szCs w:val="16"/>
              </w:rPr>
              <w:t xml:space="preserve">11.2. </w:t>
            </w:r>
            <w:r>
              <w:t>Досудебный порядок урегулирования спора является обязательным. Срок ответа на претензию - 15 (пятнадцать) рабочих дней со дня ее получения.</w:t>
            </w:r>
            <w:r>
              <w:rPr>
                <w:rFonts w:eastAsia="Calibri"/>
              </w:rPr>
              <w:t xml:space="preserve"> Спор по имущественным тр</w:t>
            </w:r>
            <w:r>
              <w:rPr>
                <w:rFonts w:eastAsia="Calibri"/>
              </w:rPr>
              <w:t xml:space="preserve">ебованиям </w:t>
            </w:r>
            <w:r>
              <w:rPr>
                <w:spacing w:val="-2"/>
              </w:rPr>
              <w:t xml:space="preserve">Заказчика </w:t>
            </w:r>
            <w:r>
              <w:rPr>
                <w:rFonts w:eastAsia="Calibri"/>
              </w:rPr>
              <w:t xml:space="preserve">может быть передан на разрешение суда по истечении </w:t>
            </w:r>
            <w:r>
              <w:t>15 (пятнадцать) рабочих дней</w:t>
            </w:r>
            <w:r>
              <w:rPr>
                <w:rFonts w:eastAsia="Calibri"/>
              </w:rPr>
              <w:t xml:space="preserve"> с момента получения Исполнителем претензии (требования).</w:t>
            </w:r>
          </w:p>
          <w:p w:rsidR="00096DC9" w:rsidRDefault="00096DC9">
            <w:pPr>
              <w:jc w:val="both"/>
            </w:pP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135" w:type="dxa"/>
            <w:shd w:val="clear" w:color="auto" w:fill="auto"/>
          </w:tcPr>
          <w:p w:rsidR="00096DC9" w:rsidRDefault="00096DC9"/>
        </w:tc>
        <w:tc>
          <w:tcPr>
            <w:tcW w:w="390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r>
              <w:rPr>
                <w:b/>
                <w:szCs w:val="16"/>
              </w:rPr>
              <w:t>12. Коммуникации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Общие условия</w:t>
            </w:r>
          </w:p>
          <w:p w:rsidR="00096DC9" w:rsidRDefault="00C148DB">
            <w:pPr>
              <w:jc w:val="both"/>
            </w:pPr>
            <w:r>
              <w:rPr>
                <w:szCs w:val="16"/>
              </w:rPr>
              <w:t>12.1. Датой предоставления любого документа по Договору признается:</w:t>
            </w:r>
          </w:p>
          <w:p w:rsidR="00096DC9" w:rsidRDefault="00C148DB">
            <w:pPr>
              <w:jc w:val="both"/>
            </w:pPr>
            <w:r>
              <w:rPr>
                <w:szCs w:val="16"/>
              </w:rPr>
              <w:t>12.1.1. при отправке нарочно курьером — дата вручения адресату под расписку;</w:t>
            </w:r>
          </w:p>
          <w:p w:rsidR="00096DC9" w:rsidRDefault="00C148DB">
            <w:pPr>
              <w:jc w:val="both"/>
            </w:pPr>
            <w:r>
              <w:rPr>
                <w:szCs w:val="16"/>
              </w:rPr>
              <w:t>12.1.2. при отправке почтой —  дата получения адресатом почтового отправле</w:t>
            </w:r>
            <w:r>
              <w:rPr>
                <w:szCs w:val="16"/>
              </w:rPr>
              <w:t>ния либо дата по истечении 30 календарных дней с момента отправки, в зависимости от того, какое событие наступит ранее.</w:t>
            </w:r>
          </w:p>
          <w:p w:rsidR="00096DC9" w:rsidRDefault="00C148DB">
            <w:pPr>
              <w:jc w:val="both"/>
            </w:pPr>
            <w:r>
              <w:rPr>
                <w:szCs w:val="16"/>
              </w:rPr>
              <w:t>12.1.3. при отправке почтой с уведомлением о вручении — дата получения адресатом почтового отправления.</w:t>
            </w:r>
          </w:p>
          <w:p w:rsidR="00096DC9" w:rsidRDefault="00C148DB">
            <w:pPr>
              <w:jc w:val="both"/>
            </w:pPr>
            <w:r>
              <w:rPr>
                <w:szCs w:val="16"/>
              </w:rPr>
              <w:t>12.1.4. при отправке через серви</w:t>
            </w:r>
            <w:r>
              <w:rPr>
                <w:szCs w:val="16"/>
              </w:rPr>
              <w:t>с Электронных заказных писем Почты России — дата получения адресатом отправления;</w:t>
            </w:r>
          </w:p>
          <w:p w:rsidR="00096DC9" w:rsidRDefault="00C148DB">
            <w:pPr>
              <w:jc w:val="both"/>
            </w:pPr>
            <w:r>
              <w:rPr>
                <w:szCs w:val="16"/>
              </w:rPr>
              <w:t>12.1.5. при отправке через систему электронного документооборота — дата отправки адресату документа;</w:t>
            </w:r>
          </w:p>
          <w:p w:rsidR="00096DC9" w:rsidRDefault="00C148DB">
            <w:pPr>
              <w:jc w:val="both"/>
            </w:pPr>
            <w:r>
              <w:rPr>
                <w:szCs w:val="16"/>
              </w:rPr>
              <w:t>12.1.6. при отправке по электронной почте — дата по истечении 2 рабочих д</w:t>
            </w:r>
            <w:r>
              <w:rPr>
                <w:szCs w:val="16"/>
              </w:rPr>
              <w:t>ней с момента отправки.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V Уведомление о расторжении Договора</w:t>
            </w:r>
          </w:p>
          <w:p w:rsidR="00096DC9" w:rsidRDefault="00C148DB">
            <w:pPr>
              <w:jc w:val="both"/>
            </w:pPr>
            <w:r>
              <w:rPr>
                <w:szCs w:val="16"/>
              </w:rPr>
              <w:t>12.2. Уведомление о расторжении Договора может быть направлено стороне:</w:t>
            </w:r>
          </w:p>
          <w:p w:rsidR="00096DC9" w:rsidRDefault="00C148DB">
            <w:pPr>
              <w:jc w:val="both"/>
            </w:pPr>
            <w:r>
              <w:rPr>
                <w:szCs w:val="16"/>
              </w:rPr>
              <w:t>12.2.1. по адресу местонахождения почтой с уведомлением о вручении или нарочно курьером;</w:t>
            </w:r>
          </w:p>
          <w:p w:rsidR="00096DC9" w:rsidRDefault="00C148DB">
            <w:pPr>
              <w:jc w:val="both"/>
            </w:pPr>
            <w:r>
              <w:rPr>
                <w:szCs w:val="16"/>
              </w:rPr>
              <w:t xml:space="preserve">12.2.2. по электронной почте, в </w:t>
            </w:r>
            <w:r>
              <w:rPr>
                <w:szCs w:val="16"/>
              </w:rPr>
              <w:t>т.ч. указанной при регистрации, если отсутствует информация о местонахождении.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VI Уведомление об изменениях</w:t>
            </w:r>
          </w:p>
          <w:p w:rsidR="00096DC9" w:rsidRDefault="00C148DB">
            <w:pPr>
              <w:jc w:val="both"/>
            </w:pPr>
            <w:r>
              <w:rPr>
                <w:szCs w:val="16"/>
              </w:rPr>
              <w:t>12.3. Стороны обязаны уведомлять друг друга об изменениях, в том числе о своей реорганизации, ликвидации, а также об изменении своих реквизитов: о</w:t>
            </w:r>
            <w:r>
              <w:rPr>
                <w:szCs w:val="16"/>
              </w:rPr>
              <w:t>рганизационно-правовой формы, наименования, ИНН, КПП, адреса, банковских реквизитов.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 xml:space="preserve">12.4. Уведомление о своих изменениях сторона должна направлять не позднее 5 рабочих дней с даты вступления в силу изменений. Уведомление </w:t>
            </w:r>
            <w:r>
              <w:rPr>
                <w:szCs w:val="16"/>
              </w:rPr>
              <w:t>должно быть составлено в письменной форме.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12.5.   Сторона вправе направить уведомление о своих изменениях любым способом, позволяющим зафиксировать факт получения такого уведомления и удостовериться в надлежащем отправителе.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12.6. При несоблюдении пор</w:t>
            </w:r>
            <w:r>
              <w:rPr>
                <w:szCs w:val="16"/>
              </w:rPr>
              <w:t>ядка уведомления о своих изменениях сторона: самостоятельно несет риск негативных последствий; обязана возместить другой стороне вызванные этим убытки.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135" w:type="dxa"/>
            <w:shd w:val="clear" w:color="auto" w:fill="auto"/>
          </w:tcPr>
          <w:p w:rsidR="00096DC9" w:rsidRDefault="00096DC9"/>
        </w:tc>
        <w:tc>
          <w:tcPr>
            <w:tcW w:w="390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r>
              <w:rPr>
                <w:b/>
                <w:szCs w:val="16"/>
              </w:rPr>
              <w:t>13. Документооборот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13.1. Стороны договорились о возможности осуществлять документооборот в электронном виде с использованием усиленной квалифицированной электронной подписи в отношении документов, оформляемых в рамках этого Договора, в том числе: сч</w:t>
            </w:r>
            <w:r>
              <w:rPr>
                <w:szCs w:val="16"/>
              </w:rPr>
              <w:t>етов-фактур, товарных накладных, актов приемки-передачи, актов об оказании услуг, УПД, актов сверки взаиморасчетов, иных документов.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13.2. В случае невозможности выставления документов в электронном виде, в том числе по причинам технического характера, а</w:t>
            </w:r>
            <w:r>
              <w:rPr>
                <w:szCs w:val="16"/>
              </w:rPr>
              <w:t xml:space="preserve"> также несогласия одной из сторон осуществлять документооборот в электронном виде, стороны оформляют документы на бумажном носителе.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 xml:space="preserve">13.3. Стороны признают юридическую силу электронных документов, подписанных с использованием усиленной квалифицированной </w:t>
            </w:r>
            <w:r>
              <w:rPr>
                <w:szCs w:val="16"/>
              </w:rPr>
              <w:t>электронной подписи, наравне с документами на бумажном носителе.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13.4.   Электронные документы изготавливаются, принимаются и передаются сторонами в электронно-цифровой форме без их последующего обязательного предоставления на бумажном носителе.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 xml:space="preserve">13.5. </w:t>
            </w:r>
            <w:r>
              <w:rPr>
                <w:szCs w:val="16"/>
              </w:rPr>
              <w:t xml:space="preserve">  Электронные документы будут считаться направленными надлежащим образом, если они отправлены с помощью системы юридически значимого обмена электронными документами.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13.6. Датой получения электронных документов считается дата в извещении о получении, сфо</w:t>
            </w:r>
            <w:r>
              <w:rPr>
                <w:szCs w:val="16"/>
              </w:rPr>
              <w:t>рмированного в системе юридически значимого обмена электронными документами.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 xml:space="preserve">13.7. Стороны самостоятельно осуществляют необходимые мероприятия для применения электронного документооборота, в том числе заключение договора со специализированным оператором </w:t>
            </w:r>
            <w:r>
              <w:rPr>
                <w:szCs w:val="16"/>
              </w:rPr>
              <w:t>электронного обмена и получение усиленной квалифицированной электронной подписи, а также самостоятельно несут расходы, связанные с применением электронного документооборота.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13.8. Стороны обязуются при использовании электронного документооборота осуществлять проверку своих систем на предмет поступления электронных документов ежедневно в рабочие дни с последующим их подписанием в соответствии с условиями Договора или отказом от</w:t>
            </w:r>
            <w:r>
              <w:rPr>
                <w:szCs w:val="16"/>
              </w:rPr>
              <w:t xml:space="preserve"> подписания в случае наличия претензий.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13.9.   Стороны обязаны ежедневно в рабочее время проверять поступление документов от контрагента в своей системе электронного документооборота и подписывать их или сообщать о возражениях.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135" w:type="dxa"/>
            <w:shd w:val="clear" w:color="auto" w:fill="auto"/>
          </w:tcPr>
          <w:p w:rsidR="00096DC9" w:rsidRDefault="00096DC9"/>
        </w:tc>
        <w:tc>
          <w:tcPr>
            <w:tcW w:w="390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r>
              <w:rPr>
                <w:b/>
                <w:szCs w:val="16"/>
              </w:rPr>
              <w:t>14. Заверения сторон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14.1. Каждая Сторона, заверяет о том, что:</w:t>
            </w:r>
          </w:p>
          <w:p w:rsidR="00096DC9" w:rsidRDefault="00C148DB">
            <w:pPr>
              <w:jc w:val="both"/>
            </w:pPr>
            <w:r>
              <w:rPr>
                <w:szCs w:val="16"/>
              </w:rPr>
              <w:t>14.1.1. Она не владеет долями/акциями в уставном/акционерном капитале другой стороны, дающими право 50% и более голосов на собраниях участников/акционеров другой стороны.</w:t>
            </w:r>
          </w:p>
          <w:p w:rsidR="00096DC9" w:rsidRDefault="00C148DB">
            <w:pPr>
              <w:jc w:val="both"/>
            </w:pPr>
            <w:r>
              <w:rPr>
                <w:szCs w:val="16"/>
              </w:rPr>
              <w:t>14.1.2. Она не обладает правом назначать единоличный исполнительный орган или более половины членов коллегиального исполнительного органа или совета директоров (наблюдательного совета) другой стороны.</w:t>
            </w:r>
          </w:p>
          <w:p w:rsidR="00096DC9" w:rsidRDefault="00C148DB">
            <w:pPr>
              <w:jc w:val="both"/>
            </w:pPr>
            <w:r>
              <w:rPr>
                <w:szCs w:val="16"/>
              </w:rPr>
              <w:t xml:space="preserve">14.1.3. Учредительные документы, корпоративный договор </w:t>
            </w:r>
            <w:r>
              <w:rPr>
                <w:szCs w:val="16"/>
              </w:rPr>
              <w:t>или иное соглашение не содержат положений, дающих ей возможность единоличного принятия решений по вопросам избрания единоличного/коллегиального исполнительного органа, утверждения годового бюджета или бизнес-плана, распределения дивидендов, утверждения стр</w:t>
            </w:r>
            <w:r>
              <w:rPr>
                <w:szCs w:val="16"/>
              </w:rPr>
              <w:t>атегии развития другой стороны.</w:t>
            </w:r>
          </w:p>
          <w:p w:rsidR="00096DC9" w:rsidRDefault="00C148DB">
            <w:pPr>
              <w:jc w:val="both"/>
            </w:pPr>
            <w:r>
              <w:rPr>
                <w:szCs w:val="16"/>
              </w:rPr>
              <w:t>14.1.4. Ей не известно о том, что другая сторона владеет или имеет право распоряжаться опционами, конвертируемыми облигациями или иными инструментами, конвертируемыми в доли/акции такой стороны, при условии, что в случае реа</w:t>
            </w:r>
            <w:r>
              <w:rPr>
                <w:szCs w:val="16"/>
              </w:rPr>
              <w:t>лизации или конвертации она получит право распоряжаться более 50% голосов на собрании участников/акционеров такой стороны; реализация или конвертация юридически возможны на дату заключения Договора и реализация или конвертация таких инструментов экономичес</w:t>
            </w:r>
            <w:r>
              <w:rPr>
                <w:szCs w:val="16"/>
              </w:rPr>
              <w:t>ки целесообразна для другой Стороны.</w:t>
            </w:r>
          </w:p>
          <w:p w:rsidR="00096DC9" w:rsidRDefault="00C148DB">
            <w:pPr>
              <w:jc w:val="both"/>
            </w:pPr>
            <w:r>
              <w:rPr>
                <w:szCs w:val="16"/>
              </w:rPr>
              <w:t>14.1.5. В ее отношении не заключены соглашения о порядке голосования (или иные аналогичные соглашения), дающие право другой стороне прямо или косвенно распоряжаться более 50% голосов на собрании ее участников/акционеров</w:t>
            </w:r>
            <w:r>
              <w:rPr>
                <w:szCs w:val="16"/>
              </w:rPr>
              <w:t>.</w:t>
            </w:r>
          </w:p>
          <w:p w:rsidR="00096DC9" w:rsidRDefault="00C148DB">
            <w:pPr>
              <w:jc w:val="both"/>
            </w:pPr>
            <w:r>
              <w:rPr>
                <w:szCs w:val="16"/>
              </w:rPr>
              <w:t>14.1.6. В отношении нее не заключено трастовое соглашение или соглашение о доверительном управлении, в рамках которого третье лицо владеет/управляет акциями/долями в уставном/акционерном капитале в пользу другой стороны.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14.2.   Сторона, полагавшаяся н</w:t>
            </w:r>
            <w:r>
              <w:rPr>
                <w:szCs w:val="16"/>
              </w:rPr>
              <w:t>а недостоверные заверения другой стороны, вправе в одностороннем порядке отказаться от Договора и потребовать возмещения документально подтвержденных убытков, причиненных недостоверным заверением.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135" w:type="dxa"/>
            <w:shd w:val="clear" w:color="auto" w:fill="auto"/>
          </w:tcPr>
          <w:p w:rsidR="00096DC9" w:rsidRDefault="00096DC9"/>
        </w:tc>
        <w:tc>
          <w:tcPr>
            <w:tcW w:w="390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r>
              <w:rPr>
                <w:b/>
                <w:szCs w:val="16"/>
              </w:rPr>
              <w:t>15. Антикоррупционная оговорка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  <w:rPr>
                <w:szCs w:val="16"/>
              </w:rPr>
            </w:pPr>
            <w:r>
              <w:rPr>
                <w:szCs w:val="16"/>
              </w:rPr>
              <w:lastRenderedPageBreak/>
              <w:t>15.1. Исполнителю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</w:t>
            </w:r>
            <w:r>
              <w:rPr>
                <w:szCs w:val="16"/>
              </w:rPr>
              <w:t xml:space="preserve">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  <w:rPr>
                <w:sz w:val="22"/>
                <w:szCs w:val="22"/>
              </w:rPr>
            </w:pPr>
            <w:r>
              <w:rPr>
                <w:szCs w:val="16"/>
              </w:rPr>
              <w:t>15.2. Исполнитель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</w:t>
            </w:r>
            <w:r>
              <w:rPr>
                <w:szCs w:val="16"/>
              </w:rPr>
              <w:t xml:space="preserve">су: </w:t>
            </w:r>
            <w:hyperlink r:id="rId7" w:tooltip="http://www.tuvaenergo.ru/buy/corruption.php" w:history="1">
              <w:r>
                <w:rPr>
                  <w:szCs w:val="16"/>
                </w:rPr>
                <w:t>http://www.tuvaenergo.ru/buy/corruption.php</w:t>
              </w:r>
            </w:hyperlink>
            <w:r>
              <w:rPr>
                <w:szCs w:val="16"/>
              </w:rPr>
              <w:t>, полностью принимает положения Антикоррупционной политики и обязуется обеспечивать соблюдение ее тр</w:t>
            </w:r>
            <w:r>
              <w:rPr>
                <w:szCs w:val="16"/>
              </w:rPr>
              <w:t>ебований.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  <w:rPr>
                <w:szCs w:val="16"/>
              </w:rPr>
            </w:pPr>
            <w:r>
              <w:rPr>
                <w:szCs w:val="16"/>
              </w:rPr>
              <w:t xml:space="preserve"> 15.3. 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</w:t>
            </w:r>
            <w:r>
              <w:rPr>
                <w:szCs w:val="16"/>
              </w:rPr>
              <w:t>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  <w:rPr>
                <w:sz w:val="22"/>
                <w:szCs w:val="22"/>
              </w:rPr>
            </w:pPr>
            <w:r>
              <w:rPr>
                <w:szCs w:val="16"/>
              </w:rPr>
              <w:t>15.4. Стороны отказываются от стимулирования каким-либо образом работников друг друга, в том числе путе</w:t>
            </w:r>
            <w:r>
              <w:rPr>
                <w:szCs w:val="16"/>
              </w:rPr>
              <w:t>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</w:t>
            </w:r>
            <w:r>
              <w:rPr>
                <w:szCs w:val="16"/>
              </w:rPr>
              <w:t>йствий в пользу стимулирующей его Стороны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  <w:rPr>
                <w:sz w:val="22"/>
                <w:szCs w:val="22"/>
              </w:rPr>
            </w:pPr>
            <w:r>
              <w:rPr>
                <w:szCs w:val="16"/>
              </w:rPr>
              <w:t>15.5. В случае возникновения у одной из Сторон подозрений, что произошло или может произойти нарушение каких-либо положений пунктов 15.1 – 15.3 Антикоррупционной оговорки, указанная Сторона обязуется уведомить д</w:t>
            </w:r>
            <w:r>
              <w:rPr>
                <w:szCs w:val="16"/>
              </w:rPr>
              <w:t>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</w:t>
            </w:r>
            <w:r>
              <w:rPr>
                <w:szCs w:val="16"/>
              </w:rPr>
              <w:t>х дней с даты направления письменного уведомления.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trHeight w:val="276"/>
        </w:trPr>
        <w:tc>
          <w:tcPr>
            <w:tcW w:w="9675" w:type="dxa"/>
            <w:gridSpan w:val="32"/>
            <w:vMerge w:val="restart"/>
            <w:shd w:val="clear" w:color="FFFFFF" w:fill="FFFFFF"/>
          </w:tcPr>
          <w:p w:rsidR="00096DC9" w:rsidRDefault="00C148DB">
            <w:pPr>
              <w:jc w:val="both"/>
              <w:rPr>
                <w:sz w:val="24"/>
                <w:szCs w:val="24"/>
              </w:rPr>
            </w:pPr>
            <w:r>
              <w:rPr>
                <w:szCs w:val="16"/>
              </w:rPr>
              <w:t>15.6. 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15.1, 15.2 Антикоррупционн</w:t>
            </w:r>
            <w:r>
              <w:rPr>
                <w:szCs w:val="16"/>
              </w:rPr>
              <w:t>ой оговорки любой из Сторон, аффилированными лицами, работниками или посредниками.</w:t>
            </w:r>
          </w:p>
        </w:tc>
        <w:tc>
          <w:tcPr>
            <w:tcW w:w="165" w:type="dxa"/>
            <w:vMerge w:val="restart"/>
            <w:shd w:val="clear" w:color="FFFFFF" w:fill="FFFFFF"/>
          </w:tcPr>
          <w:p w:rsidR="00096DC9" w:rsidRDefault="00096DC9">
            <w:pPr>
              <w:jc w:val="both"/>
            </w:pPr>
          </w:p>
        </w:tc>
      </w:tr>
      <w:tr w:rsidR="00096DC9">
        <w:trPr>
          <w:trHeight w:val="276"/>
        </w:trPr>
        <w:tc>
          <w:tcPr>
            <w:tcW w:w="9675" w:type="dxa"/>
            <w:gridSpan w:val="32"/>
            <w:vMerge w:val="restart"/>
            <w:shd w:val="clear" w:color="FFFFFF" w:fill="FFFFFF"/>
          </w:tcPr>
          <w:p w:rsidR="00096DC9" w:rsidRDefault="00C148DB">
            <w:pPr>
              <w:jc w:val="both"/>
              <w:rPr>
                <w:sz w:val="24"/>
                <w:szCs w:val="24"/>
              </w:rPr>
            </w:pPr>
            <w:r>
              <w:rPr>
                <w:szCs w:val="16"/>
              </w:rPr>
              <w:t xml:space="preserve">15.7. В случае нарушения одной из Сторон обязательств по соблюдению требований Антикоррупционной политики, предусмотренных пунктами 15.1, 15.2 Антикоррупционной оговорки, </w:t>
            </w:r>
            <w:r>
              <w:rPr>
                <w:szCs w:val="16"/>
              </w:rPr>
              <w:t>и обязательств воздерживаться от запрещенных в пункте 15.3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</w:t>
            </w:r>
            <w:r>
              <w:rPr>
                <w:szCs w:val="16"/>
              </w:rPr>
              <w:t>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</w:t>
            </w:r>
            <w:r>
              <w:rPr>
                <w:szCs w:val="16"/>
              </w:rPr>
              <w:t>ате такого расторжения.</w:t>
            </w:r>
          </w:p>
        </w:tc>
        <w:tc>
          <w:tcPr>
            <w:tcW w:w="165" w:type="dxa"/>
            <w:vMerge w:val="restart"/>
            <w:shd w:val="clear" w:color="FFFFFF" w:fill="FFFFFF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135" w:type="dxa"/>
            <w:shd w:val="clear" w:color="auto" w:fill="auto"/>
          </w:tcPr>
          <w:p w:rsidR="00096DC9" w:rsidRDefault="00096DC9"/>
        </w:tc>
        <w:tc>
          <w:tcPr>
            <w:tcW w:w="390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r>
              <w:rPr>
                <w:b/>
                <w:szCs w:val="16"/>
              </w:rPr>
              <w:t>16. Действие Договора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 xml:space="preserve">16.1.   Договор вступает в силу с момента его подписания обеими Сторонами и действует до полного исполнения Сторонами обязательств по Договору. Прекращение срока действия настоящего Договора не освобождает стороны от исполнения </w:t>
            </w:r>
            <w:r>
              <w:rPr>
                <w:szCs w:val="16"/>
              </w:rPr>
              <w:t>своих обязательств по настоящему Договору.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16.2.   Исполнитель вправе по своему усмотрению в любое время вносить изменения в Условия использования Сайтов. Изменения вступают в силу с момента размещения новой редакции на Сайте.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16.3.   Сторона вправе ра</w:t>
            </w:r>
            <w:r>
              <w:rPr>
                <w:szCs w:val="16"/>
              </w:rPr>
              <w:t>сторгнуть договор в одностороннем порядке с уведомлением другой стороны за 10 календарных дней до предполагаемой даты расторжения.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16.4. При расторжении Договора любой из сторон и/или отказе Заказчика от Услуг Исполнитель возвращает Заказчику денежные ср</w:t>
            </w:r>
            <w:r>
              <w:rPr>
                <w:szCs w:val="16"/>
              </w:rPr>
              <w:t>едства, уплаченные за Услуги, за вычетом стоимости фактически оказанных Услуг, начисленных неустоек, штрафов (в случае если таковые были).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16.5.   Если расторжение Договора происходит по инициативе Заказчика, он обязан указать в тексте уведомления о раст</w:t>
            </w:r>
            <w:r>
              <w:rPr>
                <w:szCs w:val="16"/>
              </w:rPr>
              <w:t>оржении платежные реквизиты, по которым Исполнитель производит возврат денежных средств при необходимости.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9675" w:type="dxa"/>
            <w:gridSpan w:val="32"/>
            <w:shd w:val="clear" w:color="auto" w:fill="auto"/>
          </w:tcPr>
          <w:p w:rsidR="00096DC9" w:rsidRDefault="00C148DB">
            <w:pPr>
              <w:jc w:val="both"/>
            </w:pPr>
            <w:r>
              <w:rPr>
                <w:szCs w:val="16"/>
              </w:rPr>
              <w:t>16.6. Заказчик вправе уступить свои права и обязанности по Договору третьему лицу. Заказчик обязан направить Исполнителю копию документа об уступке прав и обязанностей, а также платежные реквизиты третьего лица.</w:t>
            </w:r>
          </w:p>
        </w:tc>
        <w:tc>
          <w:tcPr>
            <w:tcW w:w="165" w:type="dxa"/>
            <w:shd w:val="clear" w:color="auto" w:fill="auto"/>
          </w:tcPr>
          <w:p w:rsidR="00096DC9" w:rsidRDefault="00096DC9">
            <w:pPr>
              <w:jc w:val="both"/>
            </w:pPr>
          </w:p>
        </w:tc>
      </w:tr>
      <w:tr w:rsidR="00096DC9">
        <w:trPr>
          <w:cantSplit/>
        </w:trPr>
        <w:tc>
          <w:tcPr>
            <w:tcW w:w="135" w:type="dxa"/>
            <w:shd w:val="clear" w:color="auto" w:fill="auto"/>
            <w:vAlign w:val="bottom"/>
          </w:tcPr>
          <w:p w:rsidR="00096DC9" w:rsidRDefault="00096DC9"/>
        </w:tc>
        <w:tc>
          <w:tcPr>
            <w:tcW w:w="390" w:type="dxa"/>
            <w:shd w:val="clear" w:color="auto" w:fill="auto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165" w:type="dxa"/>
            <w:shd w:val="clear" w:color="auto" w:fill="auto"/>
            <w:vAlign w:val="bottom"/>
          </w:tcPr>
          <w:p w:rsidR="00096DC9" w:rsidRDefault="00096DC9"/>
        </w:tc>
      </w:tr>
      <w:tr w:rsidR="00096DC9">
        <w:trPr>
          <w:cantSplit/>
        </w:trPr>
        <w:tc>
          <w:tcPr>
            <w:tcW w:w="135" w:type="dxa"/>
            <w:shd w:val="clear" w:color="auto" w:fill="auto"/>
            <w:vAlign w:val="bottom"/>
          </w:tcPr>
          <w:p w:rsidR="00096DC9" w:rsidRDefault="00096DC9"/>
        </w:tc>
        <w:tc>
          <w:tcPr>
            <w:tcW w:w="390" w:type="dxa"/>
            <w:shd w:val="clear" w:color="auto" w:fill="auto"/>
          </w:tcPr>
          <w:p w:rsidR="00096DC9" w:rsidRDefault="00096DC9"/>
        </w:tc>
        <w:tc>
          <w:tcPr>
            <w:tcW w:w="4261" w:type="dxa"/>
            <w:gridSpan w:val="14"/>
            <w:shd w:val="clear" w:color="auto" w:fill="auto"/>
            <w:vAlign w:val="bottom"/>
          </w:tcPr>
          <w:p w:rsidR="00096DC9" w:rsidRDefault="00C148DB">
            <w:r>
              <w:rPr>
                <w:b/>
                <w:szCs w:val="16"/>
              </w:rPr>
              <w:t>ИСПОЛНИТЕЛЬ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4396" w:type="dxa"/>
            <w:gridSpan w:val="14"/>
            <w:shd w:val="clear" w:color="auto" w:fill="auto"/>
            <w:vAlign w:val="bottom"/>
          </w:tcPr>
          <w:p w:rsidR="00096DC9" w:rsidRDefault="00C148DB">
            <w:r>
              <w:rPr>
                <w:b/>
                <w:szCs w:val="16"/>
              </w:rPr>
              <w:t>ЗАКАЗЧИК</w:t>
            </w:r>
          </w:p>
        </w:tc>
        <w:tc>
          <w:tcPr>
            <w:tcW w:w="165" w:type="dxa"/>
            <w:shd w:val="clear" w:color="auto" w:fill="auto"/>
            <w:vAlign w:val="bottom"/>
          </w:tcPr>
          <w:p w:rsidR="00096DC9" w:rsidRDefault="00096DC9"/>
        </w:tc>
      </w:tr>
      <w:tr w:rsidR="00096DC9">
        <w:trPr>
          <w:cantSplit/>
        </w:trPr>
        <w:tc>
          <w:tcPr>
            <w:tcW w:w="135" w:type="dxa"/>
            <w:shd w:val="clear" w:color="auto" w:fill="auto"/>
            <w:vAlign w:val="bottom"/>
          </w:tcPr>
          <w:p w:rsidR="00096DC9" w:rsidRDefault="00096DC9"/>
        </w:tc>
        <w:tc>
          <w:tcPr>
            <w:tcW w:w="4412" w:type="dxa"/>
            <w:gridSpan w:val="14"/>
            <w:shd w:val="clear" w:color="auto" w:fill="auto"/>
          </w:tcPr>
          <w:p w:rsidR="00096DC9" w:rsidRDefault="00096DC9"/>
        </w:tc>
        <w:tc>
          <w:tcPr>
            <w:tcW w:w="239" w:type="dxa"/>
            <w:shd w:val="clear" w:color="auto" w:fill="auto"/>
          </w:tcPr>
          <w:p w:rsidR="00096DC9" w:rsidRDefault="00096DC9">
            <w:pPr>
              <w:ind w:left="105"/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4396" w:type="dxa"/>
            <w:gridSpan w:val="14"/>
            <w:shd w:val="clear" w:color="auto" w:fill="auto"/>
          </w:tcPr>
          <w:p w:rsidR="00096DC9" w:rsidRDefault="00C148DB">
            <w:pPr>
              <w:ind w:left="105"/>
            </w:pPr>
            <w:r>
              <w:rPr>
                <w:szCs w:val="16"/>
              </w:rPr>
              <w:t>АКЦИОНЕРНОЕ ОБЩЕСТВО "РОССЕТИ СИБИРЬ ТЫВАЭНЕРГО"</w:t>
            </w:r>
          </w:p>
        </w:tc>
        <w:tc>
          <w:tcPr>
            <w:tcW w:w="165" w:type="dxa"/>
            <w:shd w:val="clear" w:color="auto" w:fill="auto"/>
            <w:vAlign w:val="bottom"/>
          </w:tcPr>
          <w:p w:rsidR="00096DC9" w:rsidRDefault="00096DC9"/>
        </w:tc>
      </w:tr>
      <w:tr w:rsidR="00096DC9">
        <w:trPr>
          <w:cantSplit/>
        </w:trPr>
        <w:tc>
          <w:tcPr>
            <w:tcW w:w="135" w:type="dxa"/>
            <w:shd w:val="clear" w:color="auto" w:fill="auto"/>
            <w:vAlign w:val="bottom"/>
          </w:tcPr>
          <w:p w:rsidR="00096DC9" w:rsidRDefault="00096DC9"/>
        </w:tc>
        <w:tc>
          <w:tcPr>
            <w:tcW w:w="4412" w:type="dxa"/>
            <w:gridSpan w:val="14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096DC9" w:rsidRDefault="00C148DB">
            <w:pPr>
              <w:ind w:left="105"/>
            </w:pPr>
            <w:r>
              <w:rPr>
                <w:szCs w:val="16"/>
              </w:rPr>
              <w:t>Генеральный директор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096DC9" w:rsidRDefault="00096DC9">
            <w:pPr>
              <w:ind w:left="105"/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4396" w:type="dxa"/>
            <w:gridSpan w:val="14"/>
            <w:shd w:val="clear" w:color="auto" w:fill="auto"/>
            <w:vAlign w:val="bottom"/>
          </w:tcPr>
          <w:p w:rsidR="00096DC9" w:rsidRDefault="00C148DB">
            <w:r>
              <w:t xml:space="preserve">  И.о. Управляющего директора – первого заместителя генерального директора </w:t>
            </w:r>
          </w:p>
        </w:tc>
        <w:tc>
          <w:tcPr>
            <w:tcW w:w="165" w:type="dxa"/>
            <w:shd w:val="clear" w:color="auto" w:fill="auto"/>
            <w:vAlign w:val="bottom"/>
          </w:tcPr>
          <w:p w:rsidR="00096DC9" w:rsidRDefault="00096DC9"/>
        </w:tc>
      </w:tr>
      <w:tr w:rsidR="00096DC9">
        <w:trPr>
          <w:cantSplit/>
        </w:trPr>
        <w:tc>
          <w:tcPr>
            <w:tcW w:w="135" w:type="dxa"/>
            <w:shd w:val="clear" w:color="auto" w:fill="auto"/>
            <w:vAlign w:val="bottom"/>
          </w:tcPr>
          <w:p w:rsidR="00096DC9" w:rsidRDefault="00096DC9"/>
        </w:tc>
        <w:tc>
          <w:tcPr>
            <w:tcW w:w="4412" w:type="dxa"/>
            <w:gridSpan w:val="14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096DC9" w:rsidRDefault="00C148DB">
            <w:pPr>
              <w:ind w:left="105"/>
            </w:pPr>
            <w:r>
              <w:rPr>
                <w:szCs w:val="16"/>
              </w:rPr>
              <w:t>Основание: Устав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096DC9" w:rsidRDefault="00096DC9">
            <w:pPr>
              <w:ind w:left="105"/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4396" w:type="dxa"/>
            <w:gridSpan w:val="14"/>
            <w:shd w:val="clear" w:color="auto" w:fill="auto"/>
            <w:vAlign w:val="bottom"/>
          </w:tcPr>
          <w:p w:rsidR="00096DC9" w:rsidRDefault="00C148DB">
            <w:pPr>
              <w:ind w:left="105"/>
            </w:pPr>
            <w:r>
              <w:rPr>
                <w:szCs w:val="16"/>
              </w:rPr>
              <w:t>На основании:</w:t>
            </w:r>
          </w:p>
          <w:p w:rsidR="00096DC9" w:rsidRDefault="00C148DB">
            <w:r>
              <w:t>Доверенности от 02.12.2025 №93/125</w:t>
            </w:r>
          </w:p>
        </w:tc>
        <w:tc>
          <w:tcPr>
            <w:tcW w:w="165" w:type="dxa"/>
            <w:shd w:val="clear" w:color="auto" w:fill="auto"/>
            <w:vAlign w:val="bottom"/>
          </w:tcPr>
          <w:p w:rsidR="00096DC9" w:rsidRDefault="00096DC9"/>
        </w:tc>
      </w:tr>
      <w:tr w:rsidR="00096DC9">
        <w:trPr>
          <w:cantSplit/>
          <w:trHeight w:val="176"/>
        </w:trPr>
        <w:tc>
          <w:tcPr>
            <w:tcW w:w="135" w:type="dxa"/>
            <w:shd w:val="clear" w:color="auto" w:fill="auto"/>
            <w:vAlign w:val="bottom"/>
          </w:tcPr>
          <w:p w:rsidR="00096DC9" w:rsidRDefault="00096DC9"/>
        </w:tc>
        <w:tc>
          <w:tcPr>
            <w:tcW w:w="4412" w:type="dxa"/>
            <w:gridSpan w:val="14"/>
            <w:tcBorders>
              <w:left w:val="single" w:sz="10" w:space="0" w:color="auto"/>
            </w:tcBorders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>
            <w:pPr>
              <w:ind w:left="105"/>
            </w:pPr>
          </w:p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4396" w:type="dxa"/>
            <w:gridSpan w:val="14"/>
            <w:shd w:val="clear" w:color="auto" w:fill="auto"/>
            <w:vAlign w:val="bottom"/>
          </w:tcPr>
          <w:p w:rsidR="00096DC9" w:rsidRDefault="00C148DB">
            <w:pPr>
              <w:ind w:left="105"/>
            </w:pPr>
            <w:r>
              <w:rPr>
                <w:szCs w:val="16"/>
              </w:rPr>
              <w:t>Таранков А.И.</w:t>
            </w:r>
          </w:p>
        </w:tc>
        <w:tc>
          <w:tcPr>
            <w:tcW w:w="165" w:type="dxa"/>
            <w:shd w:val="clear" w:color="auto" w:fill="auto"/>
            <w:vAlign w:val="bottom"/>
          </w:tcPr>
          <w:p w:rsidR="00096DC9" w:rsidRDefault="00096DC9"/>
        </w:tc>
      </w:tr>
      <w:tr w:rsidR="00096DC9">
        <w:trPr>
          <w:cantSplit/>
        </w:trPr>
        <w:tc>
          <w:tcPr>
            <w:tcW w:w="135" w:type="dxa"/>
            <w:shd w:val="clear" w:color="auto" w:fill="auto"/>
            <w:vAlign w:val="bottom"/>
          </w:tcPr>
          <w:p w:rsidR="00096DC9" w:rsidRDefault="00096DC9"/>
        </w:tc>
        <w:tc>
          <w:tcPr>
            <w:tcW w:w="390" w:type="dxa"/>
            <w:shd w:val="clear" w:color="auto" w:fill="auto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4396" w:type="dxa"/>
            <w:gridSpan w:val="14"/>
            <w:shd w:val="clear" w:color="auto" w:fill="auto"/>
            <w:vAlign w:val="bottom"/>
          </w:tcPr>
          <w:p w:rsidR="00096DC9" w:rsidRDefault="00096DC9">
            <w:pPr>
              <w:ind w:left="105"/>
            </w:pPr>
          </w:p>
        </w:tc>
        <w:tc>
          <w:tcPr>
            <w:tcW w:w="165" w:type="dxa"/>
            <w:shd w:val="clear" w:color="auto" w:fill="auto"/>
            <w:vAlign w:val="bottom"/>
          </w:tcPr>
          <w:p w:rsidR="00096DC9" w:rsidRDefault="00096DC9"/>
        </w:tc>
      </w:tr>
      <w:tr w:rsidR="00096DC9">
        <w:trPr>
          <w:cantSplit/>
        </w:trPr>
        <w:tc>
          <w:tcPr>
            <w:tcW w:w="135" w:type="dxa"/>
            <w:shd w:val="clear" w:color="auto" w:fill="auto"/>
            <w:vAlign w:val="bottom"/>
          </w:tcPr>
          <w:p w:rsidR="00096DC9" w:rsidRDefault="00096DC9"/>
        </w:tc>
        <w:tc>
          <w:tcPr>
            <w:tcW w:w="390" w:type="dxa"/>
            <w:shd w:val="clear" w:color="auto" w:fill="auto"/>
          </w:tcPr>
          <w:p w:rsidR="00096DC9" w:rsidRDefault="00096DC9"/>
        </w:tc>
        <w:tc>
          <w:tcPr>
            <w:tcW w:w="4261" w:type="dxa"/>
            <w:gridSpan w:val="14"/>
            <w:shd w:val="clear" w:color="auto" w:fill="auto"/>
            <w:vAlign w:val="bottom"/>
          </w:tcPr>
          <w:p w:rsidR="00096DC9" w:rsidRDefault="00C148DB">
            <w:r>
              <w:rPr>
                <w:szCs w:val="16"/>
              </w:rPr>
              <w:t>Подпись: ______________________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4396" w:type="dxa"/>
            <w:gridSpan w:val="14"/>
            <w:shd w:val="clear" w:color="auto" w:fill="auto"/>
            <w:vAlign w:val="bottom"/>
          </w:tcPr>
          <w:p w:rsidR="00096DC9" w:rsidRDefault="00C148DB">
            <w:r>
              <w:rPr>
                <w:szCs w:val="16"/>
              </w:rPr>
              <w:t>Подпись: ______________________</w:t>
            </w:r>
          </w:p>
        </w:tc>
        <w:tc>
          <w:tcPr>
            <w:tcW w:w="165" w:type="dxa"/>
            <w:shd w:val="clear" w:color="auto" w:fill="auto"/>
            <w:vAlign w:val="bottom"/>
          </w:tcPr>
          <w:p w:rsidR="00096DC9" w:rsidRDefault="00096DC9"/>
        </w:tc>
      </w:tr>
      <w:tr w:rsidR="00096DC9">
        <w:trPr>
          <w:cantSplit/>
        </w:trPr>
        <w:tc>
          <w:tcPr>
            <w:tcW w:w="135" w:type="dxa"/>
            <w:shd w:val="clear" w:color="auto" w:fill="auto"/>
            <w:vAlign w:val="bottom"/>
          </w:tcPr>
          <w:p w:rsidR="00096DC9" w:rsidRDefault="00096DC9"/>
        </w:tc>
        <w:tc>
          <w:tcPr>
            <w:tcW w:w="390" w:type="dxa"/>
            <w:shd w:val="clear" w:color="auto" w:fill="auto"/>
          </w:tcPr>
          <w:p w:rsidR="00096DC9" w:rsidRDefault="00096DC9"/>
        </w:tc>
        <w:tc>
          <w:tcPr>
            <w:tcW w:w="4261" w:type="dxa"/>
            <w:gridSpan w:val="14"/>
            <w:shd w:val="clear" w:color="auto" w:fill="auto"/>
            <w:vAlign w:val="bottom"/>
          </w:tcPr>
          <w:p w:rsidR="00096DC9" w:rsidRDefault="00C148DB">
            <w:r>
              <w:rPr>
                <w:szCs w:val="16"/>
              </w:rPr>
              <w:t>М.П.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4396" w:type="dxa"/>
            <w:gridSpan w:val="14"/>
            <w:shd w:val="clear" w:color="auto" w:fill="auto"/>
            <w:vAlign w:val="bottom"/>
          </w:tcPr>
          <w:p w:rsidR="00096DC9" w:rsidRDefault="00C148DB">
            <w:r>
              <w:rPr>
                <w:szCs w:val="16"/>
              </w:rPr>
              <w:t>М.П.</w:t>
            </w:r>
          </w:p>
        </w:tc>
        <w:tc>
          <w:tcPr>
            <w:tcW w:w="165" w:type="dxa"/>
            <w:shd w:val="clear" w:color="auto" w:fill="auto"/>
            <w:vAlign w:val="bottom"/>
          </w:tcPr>
          <w:p w:rsidR="00096DC9" w:rsidRDefault="00096DC9"/>
        </w:tc>
      </w:tr>
      <w:tr w:rsidR="00096DC9">
        <w:trPr>
          <w:cantSplit/>
        </w:trPr>
        <w:tc>
          <w:tcPr>
            <w:tcW w:w="135" w:type="dxa"/>
            <w:shd w:val="clear" w:color="auto" w:fill="auto"/>
            <w:vAlign w:val="bottom"/>
          </w:tcPr>
          <w:p w:rsidR="00096DC9" w:rsidRDefault="00096DC9"/>
        </w:tc>
        <w:tc>
          <w:tcPr>
            <w:tcW w:w="390" w:type="dxa"/>
            <w:shd w:val="clear" w:color="auto" w:fill="auto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39" w:type="dxa"/>
            <w:shd w:val="clear" w:color="auto" w:fill="auto"/>
            <w:vAlign w:val="bottom"/>
          </w:tcPr>
          <w:p w:rsidR="00096DC9" w:rsidRDefault="00096DC9"/>
        </w:tc>
        <w:tc>
          <w:tcPr>
            <w:tcW w:w="25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314" w:type="dxa"/>
            <w:shd w:val="clear" w:color="auto" w:fill="auto"/>
            <w:vAlign w:val="bottom"/>
          </w:tcPr>
          <w:p w:rsidR="00096DC9" w:rsidRDefault="00096DC9"/>
        </w:tc>
        <w:tc>
          <w:tcPr>
            <w:tcW w:w="165" w:type="dxa"/>
            <w:shd w:val="clear" w:color="auto" w:fill="auto"/>
            <w:vAlign w:val="bottom"/>
          </w:tcPr>
          <w:p w:rsidR="00096DC9" w:rsidRDefault="00096DC9"/>
        </w:tc>
      </w:tr>
    </w:tbl>
    <w:p w:rsidR="00096DC9" w:rsidRDefault="00096DC9"/>
    <w:sectPr w:rsidR="00096DC9">
      <w:footerReference w:type="default" r:id="rId8"/>
      <w:footerReference w:type="first" r:id="rId9"/>
      <w:pgSz w:w="11907" w:h="16839"/>
      <w:pgMar w:top="567" w:right="567" w:bottom="1134" w:left="567" w:header="709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6DC9" w:rsidRDefault="00C148DB">
      <w:r>
        <w:separator/>
      </w:r>
    </w:p>
  </w:endnote>
  <w:endnote w:type="continuationSeparator" w:id="0">
    <w:p w:rsidR="00096DC9" w:rsidRDefault="00C148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153917"/>
      <w:docPartObj>
        <w:docPartGallery w:val="Page Numbers (Top of Page)"/>
      </w:docPartObj>
    </w:sdtPr>
    <w:sdtEndPr/>
    <w:sdtContent>
      <w:p w:rsidR="00096DC9" w:rsidRDefault="00C148DB">
        <w:r>
          <w:rPr>
            <w:rFonts w:ascii="Arial" w:hAnsi="Arial"/>
            <w:sz w:val="16"/>
          </w:rPr>
          <w:t xml:space="preserve">Стр.  / </w:t>
        </w:r>
      </w:p>
    </w:sdtContent>
  </w:sdt>
  <w:p w:rsidR="00096DC9" w:rsidRDefault="00096DC9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0709432"/>
      <w:docPartObj>
        <w:docPartGallery w:val="Page Numbers (Top of Page)"/>
      </w:docPartObj>
    </w:sdtPr>
    <w:sdtEndPr/>
    <w:sdtContent>
      <w:p w:rsidR="00096DC9" w:rsidRDefault="00C148DB">
        <w:r>
          <w:rPr>
            <w:rFonts w:ascii="Arial" w:hAnsi="Arial"/>
            <w:sz w:val="16"/>
          </w:rPr>
          <w:t xml:space="preserve">Стр.  / </w:t>
        </w:r>
      </w:p>
    </w:sdtContent>
  </w:sdt>
  <w:p w:rsidR="00096DC9" w:rsidRDefault="00096D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6DC9" w:rsidRDefault="00C148DB">
      <w:r>
        <w:separator/>
      </w:r>
    </w:p>
  </w:footnote>
  <w:footnote w:type="continuationSeparator" w:id="0">
    <w:p w:rsidR="00096DC9" w:rsidRDefault="00C148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F3663"/>
    <w:multiLevelType w:val="multilevel"/>
    <w:tmpl w:val="DCBC92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20"/>
      </w:pPr>
      <w:rPr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20"/>
      </w:p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080"/>
      </w:p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500"/>
        </w:tabs>
        <w:ind w:left="1500" w:hanging="1440"/>
      </w:pPr>
    </w:lvl>
    <w:lvl w:ilvl="7">
      <w:start w:val="1"/>
      <w:numFmt w:val="decimal"/>
      <w:lvlText w:val="1.1."/>
      <w:lvlJc w:val="left"/>
      <w:pPr>
        <w:tabs>
          <w:tab w:val="num" w:pos="1500"/>
        </w:tabs>
        <w:ind w:left="1500" w:hanging="1440"/>
      </w:pPr>
    </w:lvl>
    <w:lvl w:ilvl="8">
      <w:start w:val="1"/>
      <w:numFmt w:val="decimal"/>
      <w:lvlText w:val="%9."/>
      <w:lvlJc w:val="left"/>
      <w:pPr>
        <w:tabs>
          <w:tab w:val="num" w:pos="420"/>
        </w:tabs>
        <w:ind w:left="420" w:hanging="360"/>
      </w:pPr>
    </w:lvl>
  </w:abstractNum>
  <w:abstractNum w:abstractNumId="1" w15:restartNumberingAfterBreak="0">
    <w:nsid w:val="0ECD7E36"/>
    <w:multiLevelType w:val="multilevel"/>
    <w:tmpl w:val="678847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20"/>
      </w:pPr>
      <w:rPr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20"/>
      </w:p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080"/>
      </w:p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500"/>
        </w:tabs>
        <w:ind w:left="1500" w:hanging="1440"/>
      </w:pPr>
    </w:lvl>
    <w:lvl w:ilvl="7">
      <w:start w:val="1"/>
      <w:numFmt w:val="decimal"/>
      <w:lvlText w:val="1.1."/>
      <w:lvlJc w:val="left"/>
      <w:pPr>
        <w:tabs>
          <w:tab w:val="num" w:pos="1500"/>
        </w:tabs>
        <w:ind w:left="1500" w:hanging="1440"/>
      </w:pPr>
    </w:lvl>
    <w:lvl w:ilvl="8">
      <w:start w:val="1"/>
      <w:numFmt w:val="decimal"/>
      <w:lvlText w:val="%9."/>
      <w:lvlJc w:val="left"/>
      <w:pPr>
        <w:tabs>
          <w:tab w:val="num" w:pos="420"/>
        </w:tabs>
        <w:ind w:left="420" w:hanging="360"/>
      </w:pPr>
    </w:lvl>
  </w:abstractNum>
  <w:abstractNum w:abstractNumId="2" w15:restartNumberingAfterBreak="0">
    <w:nsid w:val="30307111"/>
    <w:multiLevelType w:val="multilevel"/>
    <w:tmpl w:val="CD5030C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20"/>
      </w:pPr>
      <w:rPr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20"/>
      </w:p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080"/>
      </w:p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500"/>
        </w:tabs>
        <w:ind w:left="1500" w:hanging="1440"/>
      </w:pPr>
    </w:lvl>
    <w:lvl w:ilvl="7">
      <w:start w:val="1"/>
      <w:numFmt w:val="decimal"/>
      <w:lvlText w:val="1.1."/>
      <w:lvlJc w:val="left"/>
      <w:pPr>
        <w:tabs>
          <w:tab w:val="num" w:pos="1500"/>
        </w:tabs>
        <w:ind w:left="1500" w:hanging="1440"/>
      </w:pPr>
    </w:lvl>
    <w:lvl w:ilvl="8">
      <w:start w:val="1"/>
      <w:numFmt w:val="decimal"/>
      <w:lvlText w:val="%9."/>
      <w:lvlJc w:val="left"/>
      <w:pPr>
        <w:tabs>
          <w:tab w:val="num" w:pos="420"/>
        </w:tabs>
        <w:ind w:left="420" w:hanging="360"/>
      </w:pPr>
    </w:lvl>
  </w:abstractNum>
  <w:abstractNum w:abstractNumId="3" w15:restartNumberingAfterBreak="0">
    <w:nsid w:val="356935B1"/>
    <w:multiLevelType w:val="multilevel"/>
    <w:tmpl w:val="B4B88B7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20"/>
      </w:pPr>
      <w:rPr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20"/>
      </w:p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080"/>
      </w:p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500"/>
        </w:tabs>
        <w:ind w:left="1500" w:hanging="1440"/>
      </w:pPr>
    </w:lvl>
    <w:lvl w:ilvl="7">
      <w:start w:val="1"/>
      <w:numFmt w:val="decimal"/>
      <w:lvlText w:val="1.1."/>
      <w:lvlJc w:val="left"/>
      <w:pPr>
        <w:tabs>
          <w:tab w:val="num" w:pos="1500"/>
        </w:tabs>
        <w:ind w:left="1500" w:hanging="1440"/>
      </w:pPr>
    </w:lvl>
    <w:lvl w:ilvl="8">
      <w:start w:val="1"/>
      <w:numFmt w:val="decimal"/>
      <w:lvlText w:val="%9."/>
      <w:lvlJc w:val="left"/>
      <w:pPr>
        <w:tabs>
          <w:tab w:val="num" w:pos="420"/>
        </w:tabs>
        <w:ind w:left="420" w:hanging="360"/>
      </w:pPr>
    </w:lvl>
  </w:abstractNum>
  <w:abstractNum w:abstractNumId="4" w15:restartNumberingAfterBreak="0">
    <w:nsid w:val="3A522A40"/>
    <w:multiLevelType w:val="multilevel"/>
    <w:tmpl w:val="CDB4F69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20"/>
      </w:pPr>
      <w:rPr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20"/>
      </w:p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080"/>
      </w:p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500"/>
        </w:tabs>
        <w:ind w:left="1500" w:hanging="1440"/>
      </w:pPr>
    </w:lvl>
    <w:lvl w:ilvl="7">
      <w:start w:val="1"/>
      <w:numFmt w:val="decimal"/>
      <w:lvlText w:val="1.1."/>
      <w:lvlJc w:val="left"/>
      <w:pPr>
        <w:tabs>
          <w:tab w:val="num" w:pos="1500"/>
        </w:tabs>
        <w:ind w:left="1500" w:hanging="1440"/>
      </w:pPr>
    </w:lvl>
    <w:lvl w:ilvl="8">
      <w:start w:val="1"/>
      <w:numFmt w:val="decimal"/>
      <w:lvlText w:val="%9."/>
      <w:lvlJc w:val="left"/>
      <w:pPr>
        <w:tabs>
          <w:tab w:val="num" w:pos="420"/>
        </w:tabs>
        <w:ind w:left="420" w:hanging="360"/>
      </w:pPr>
    </w:lvl>
  </w:abstractNum>
  <w:abstractNum w:abstractNumId="5" w15:restartNumberingAfterBreak="0">
    <w:nsid w:val="509E07B1"/>
    <w:multiLevelType w:val="multilevel"/>
    <w:tmpl w:val="20A83F2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20"/>
      </w:pPr>
      <w:rPr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20"/>
      </w:p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080"/>
      </w:p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500"/>
        </w:tabs>
        <w:ind w:left="1500" w:hanging="1440"/>
      </w:pPr>
    </w:lvl>
    <w:lvl w:ilvl="7">
      <w:start w:val="1"/>
      <w:numFmt w:val="decimal"/>
      <w:lvlText w:val="1.1."/>
      <w:lvlJc w:val="left"/>
      <w:pPr>
        <w:tabs>
          <w:tab w:val="num" w:pos="1500"/>
        </w:tabs>
        <w:ind w:left="1500" w:hanging="1440"/>
      </w:pPr>
    </w:lvl>
    <w:lvl w:ilvl="8">
      <w:start w:val="1"/>
      <w:numFmt w:val="decimal"/>
      <w:lvlText w:val="%9."/>
      <w:lvlJc w:val="left"/>
      <w:pPr>
        <w:tabs>
          <w:tab w:val="num" w:pos="420"/>
        </w:tabs>
        <w:ind w:left="420" w:hanging="360"/>
      </w:pPr>
    </w:lvl>
  </w:abstractNum>
  <w:abstractNum w:abstractNumId="6" w15:restartNumberingAfterBreak="0">
    <w:nsid w:val="79C5556B"/>
    <w:multiLevelType w:val="multilevel"/>
    <w:tmpl w:val="F22AFB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20"/>
      </w:pPr>
      <w:rPr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20"/>
      </w:p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080"/>
      </w:p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500"/>
        </w:tabs>
        <w:ind w:left="1500" w:hanging="1440"/>
      </w:pPr>
    </w:lvl>
    <w:lvl w:ilvl="7">
      <w:start w:val="1"/>
      <w:numFmt w:val="decimal"/>
      <w:lvlText w:val="1.1."/>
      <w:lvlJc w:val="left"/>
      <w:pPr>
        <w:tabs>
          <w:tab w:val="num" w:pos="1500"/>
        </w:tabs>
        <w:ind w:left="1500" w:hanging="1440"/>
      </w:pPr>
    </w:lvl>
    <w:lvl w:ilvl="8">
      <w:start w:val="1"/>
      <w:numFmt w:val="decimal"/>
      <w:lvlText w:val="%9."/>
      <w:lvlJc w:val="left"/>
      <w:pPr>
        <w:tabs>
          <w:tab w:val="num" w:pos="420"/>
        </w:tabs>
        <w:ind w:left="420" w:hanging="360"/>
      </w:pPr>
    </w:lvl>
  </w:abstractNum>
  <w:abstractNum w:abstractNumId="7" w15:restartNumberingAfterBreak="0">
    <w:nsid w:val="7EBD6637"/>
    <w:multiLevelType w:val="multilevel"/>
    <w:tmpl w:val="B23A129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20"/>
      </w:pPr>
      <w:rPr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20"/>
      </w:p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080"/>
      </w:p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500"/>
        </w:tabs>
        <w:ind w:left="1500" w:hanging="1440"/>
      </w:pPr>
    </w:lvl>
    <w:lvl w:ilvl="7">
      <w:start w:val="1"/>
      <w:numFmt w:val="decimal"/>
      <w:lvlText w:val="1.1."/>
      <w:lvlJc w:val="left"/>
      <w:pPr>
        <w:tabs>
          <w:tab w:val="num" w:pos="1500"/>
        </w:tabs>
        <w:ind w:left="1500" w:hanging="1440"/>
      </w:pPr>
    </w:lvl>
    <w:lvl w:ilvl="8">
      <w:start w:val="1"/>
      <w:numFmt w:val="decimal"/>
      <w:lvlText w:val="%9."/>
      <w:lvlJc w:val="left"/>
      <w:pPr>
        <w:tabs>
          <w:tab w:val="num" w:pos="420"/>
        </w:tabs>
        <w:ind w:left="420" w:hanging="360"/>
      </w:pPr>
    </w:lvl>
  </w:abstractNum>
  <w:abstractNum w:abstractNumId="8" w15:restartNumberingAfterBreak="0">
    <w:nsid w:val="7FB058DD"/>
    <w:multiLevelType w:val="multilevel"/>
    <w:tmpl w:val="AD6ED16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b w:val="0"/>
        <w:i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80"/>
        </w:tabs>
        <w:ind w:left="780" w:hanging="720"/>
      </w:pPr>
      <w:rPr>
        <w:b w:val="0"/>
        <w:i w:val="0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80"/>
        </w:tabs>
        <w:ind w:left="780" w:hanging="720"/>
      </w:pPr>
    </w:lvl>
    <w:lvl w:ilvl="4">
      <w:start w:val="1"/>
      <w:numFmt w:val="decimal"/>
      <w:lvlText w:val="%1.%2.%3.%4.%5."/>
      <w:lvlJc w:val="left"/>
      <w:pPr>
        <w:tabs>
          <w:tab w:val="num" w:pos="1140"/>
        </w:tabs>
        <w:ind w:left="1140" w:hanging="1080"/>
      </w:pPr>
    </w:lvl>
    <w:lvl w:ilvl="5">
      <w:start w:val="1"/>
      <w:numFmt w:val="decimal"/>
      <w:lvlText w:val="%1.%2.%3.%4.%5.%6."/>
      <w:lvlJc w:val="left"/>
      <w:pPr>
        <w:tabs>
          <w:tab w:val="num" w:pos="1140"/>
        </w:tabs>
        <w:ind w:left="11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500"/>
        </w:tabs>
        <w:ind w:left="1500" w:hanging="1440"/>
      </w:pPr>
    </w:lvl>
    <w:lvl w:ilvl="7">
      <w:start w:val="1"/>
      <w:numFmt w:val="decimal"/>
      <w:lvlText w:val="1.1."/>
      <w:lvlJc w:val="left"/>
      <w:pPr>
        <w:tabs>
          <w:tab w:val="num" w:pos="1500"/>
        </w:tabs>
        <w:ind w:left="1500" w:hanging="1440"/>
      </w:pPr>
    </w:lvl>
    <w:lvl w:ilvl="8">
      <w:start w:val="1"/>
      <w:numFmt w:val="decimal"/>
      <w:lvlText w:val="%9."/>
      <w:lvlJc w:val="left"/>
      <w:pPr>
        <w:tabs>
          <w:tab w:val="num" w:pos="420"/>
        </w:tabs>
        <w:ind w:left="420" w:hanging="36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6"/>
  </w:num>
  <w:num w:numId="5">
    <w:abstractNumId w:val="4"/>
  </w:num>
  <w:num w:numId="6">
    <w:abstractNumId w:val="7"/>
  </w:num>
  <w:num w:numId="7">
    <w:abstractNumId w:val="5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DC9"/>
    <w:rsid w:val="00096DC9"/>
    <w:rsid w:val="00C14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AA833"/>
  <w15:docId w15:val="{1E9ED8B4-E66C-4BF1-BEA0-2FD75A38A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link w:val="a8"/>
    <w:uiPriority w:val="11"/>
    <w:qFormat/>
    <w:pPr>
      <w:spacing w:before="200" w:after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link w:val="ab"/>
    <w:uiPriority w:val="99"/>
  </w:style>
  <w:style w:type="character" w:customStyle="1" w:styleId="FooterChar">
    <w:name w:val="Footer Char"/>
    <w:uiPriority w:val="99"/>
  </w:style>
  <w:style w:type="paragraph" w:styleId="ad">
    <w:name w:val="caption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f"/>
    <w:uiPriority w:val="99"/>
  </w:style>
  <w:style w:type="table" w:styleId="af0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link w:val="af6"/>
    <w:uiPriority w:val="99"/>
    <w:semiHidden/>
    <w:unhideWhenUsed/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uiPriority w:val="39"/>
    <w:unhideWhenUsed/>
    <w:pPr>
      <w:spacing w:after="57"/>
    </w:pPr>
  </w:style>
  <w:style w:type="paragraph" w:styleId="24">
    <w:name w:val="toc 2"/>
    <w:uiPriority w:val="39"/>
    <w:unhideWhenUsed/>
    <w:pPr>
      <w:spacing w:after="57"/>
      <w:ind w:left="283"/>
    </w:pPr>
  </w:style>
  <w:style w:type="paragraph" w:styleId="32">
    <w:name w:val="toc 3"/>
    <w:uiPriority w:val="39"/>
    <w:unhideWhenUsed/>
    <w:pPr>
      <w:spacing w:after="57"/>
      <w:ind w:left="567"/>
    </w:pPr>
  </w:style>
  <w:style w:type="paragraph" w:styleId="42">
    <w:name w:val="toc 4"/>
    <w:uiPriority w:val="39"/>
    <w:unhideWhenUsed/>
    <w:pPr>
      <w:spacing w:after="57"/>
      <w:ind w:left="850"/>
    </w:pPr>
  </w:style>
  <w:style w:type="paragraph" w:styleId="52">
    <w:name w:val="toc 5"/>
    <w:uiPriority w:val="39"/>
    <w:unhideWhenUsed/>
    <w:pPr>
      <w:spacing w:after="57"/>
      <w:ind w:left="1134"/>
    </w:pPr>
  </w:style>
  <w:style w:type="paragraph" w:styleId="61">
    <w:name w:val="toc 6"/>
    <w:uiPriority w:val="39"/>
    <w:unhideWhenUsed/>
    <w:pPr>
      <w:spacing w:after="57"/>
      <w:ind w:left="1417"/>
    </w:pPr>
  </w:style>
  <w:style w:type="paragraph" w:styleId="71">
    <w:name w:val="toc 7"/>
    <w:uiPriority w:val="39"/>
    <w:unhideWhenUsed/>
    <w:pPr>
      <w:spacing w:after="57"/>
      <w:ind w:left="1701"/>
    </w:pPr>
  </w:style>
  <w:style w:type="paragraph" w:styleId="81">
    <w:name w:val="toc 8"/>
    <w:uiPriority w:val="39"/>
    <w:unhideWhenUsed/>
    <w:pPr>
      <w:spacing w:after="57"/>
      <w:ind w:left="1984"/>
    </w:pPr>
  </w:style>
  <w:style w:type="paragraph" w:styleId="91">
    <w:name w:val="toc 9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uiPriority w:val="99"/>
    <w:unhideWhenUsed/>
  </w:style>
  <w:style w:type="table" w:customStyle="1" w:styleId="TableStyle0">
    <w:name w:val="TableStyle0"/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">
    <w:name w:val="footer"/>
    <w:link w:val="ae"/>
  </w:style>
  <w:style w:type="paragraph" w:customStyle="1" w:styleId="afa">
    <w:name w:val="Основной текст;Основной текст таблиц;в таблице;таблицы;в таблицах;Письмо в Интернет;Нумерация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20" w:after="120" w:line="360" w:lineRule="auto"/>
      <w:ind w:firstLine="567"/>
      <w:jc w:val="both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tuvaenergo.ru/buy/corruption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3465</Words>
  <Characters>19753</Characters>
  <Application>Microsoft Office Word</Application>
  <DocSecurity>0</DocSecurity>
  <Lines>164</Lines>
  <Paragraphs>46</Paragraphs>
  <ScaleCrop>false</ScaleCrop>
  <Company/>
  <LinksUpToDate>false</LinksUpToDate>
  <CharactersWithSpaces>23172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Завьялова Наталья</dc:creator>
  <cp:lastModifiedBy>Надежда Кузнецова</cp:lastModifiedBy>
  <cp:revision>12</cp:revision>
  <dcterms:created xsi:type="dcterms:W3CDTF">2026-03-31T08:31:00Z</dcterms:created>
  <dcterms:modified xsi:type="dcterms:W3CDTF">2026-05-06T06:55:00Z</dcterms:modified>
</cp:coreProperties>
</file>